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AD" w:rsidRPr="00FA4AAD" w:rsidRDefault="00FA4AAD" w:rsidP="00FA4AA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OAP-II.420.12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     Kraków, dnia </w:t>
      </w:r>
      <w:r>
        <w:rPr>
          <w:rFonts w:ascii="Times New Roman" w:eastAsia="Calibri" w:hAnsi="Times New Roman" w:cs="Times New Roman"/>
          <w:sz w:val="24"/>
          <w:szCs w:val="24"/>
        </w:rPr>
        <w:t>24 kwietnia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2018 r.</w:t>
      </w:r>
    </w:p>
    <w:p w:rsidR="00FA4AAD" w:rsidRPr="00FA4AAD" w:rsidRDefault="00FA4AAD" w:rsidP="00FA4AA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AAD" w:rsidRPr="00FA4AAD" w:rsidRDefault="00FA4AAD" w:rsidP="00FA4AA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FA4AAD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FA4AAD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FA4AAD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FA4AAD" w:rsidRPr="00FA4AAD" w:rsidRDefault="00FA4AAD" w:rsidP="00FA4AA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A4AAD" w:rsidRPr="00FA4AAD" w:rsidRDefault="00FA4AAD" w:rsidP="00FA4AA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>Dotyczy: praktyk IX rocznika</w:t>
      </w:r>
      <w:r w:rsidR="00342B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aplikacji prokuratorskiej po IV</w:t>
      </w: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zjeździe</w:t>
      </w:r>
    </w:p>
    <w:p w:rsidR="00FA4AAD" w:rsidRPr="00FA4AAD" w:rsidRDefault="00FA4AAD" w:rsidP="00FA4AA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4AAD" w:rsidRPr="00FA4AAD" w:rsidRDefault="00FA4AAD" w:rsidP="00FA4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FA4AAD">
        <w:rPr>
          <w:rFonts w:ascii="Times New Roman" w:eastAsia="Calibri" w:hAnsi="Times New Roman" w:cs="Times New Roman"/>
          <w:sz w:val="24"/>
          <w:szCs w:val="24"/>
        </w:rPr>
        <w:br/>
        <w:t xml:space="preserve">w Krakowie Nr 131/2010 z dnia 19 listopada 2010 roku w sprawie szczegółowych zasad odbywania praktyki przez aplikantów aplikacji sędziowskiej, prokuratorskiej oraz ogólnej (tekst ujednolicony), uprzejmie przedstawiam szczegółowy zakres tematyczny, który winien być przedmiotem praktyk aplikantów aplikacji prokuratorskiej odbywanych od </w:t>
      </w:r>
      <w:r>
        <w:rPr>
          <w:rFonts w:ascii="Times New Roman" w:eastAsia="Calibri" w:hAnsi="Times New Roman" w:cs="Times New Roman"/>
          <w:sz w:val="24"/>
          <w:szCs w:val="24"/>
        </w:rPr>
        <w:t>18 czerwca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sz w:val="24"/>
          <w:szCs w:val="24"/>
        </w:rPr>
        <w:t>6 lipca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2018 roku w prokuraturach rejonowych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w tym jeden tydzień w dziale śledczym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A4AAD" w:rsidRPr="00FA4AAD" w:rsidRDefault="00FA4AAD" w:rsidP="00FA4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FA4AAD" w:rsidRPr="00FA4AAD" w:rsidRDefault="00F8622F" w:rsidP="00FA4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Przedmiotem IV</w:t>
      </w:r>
      <w:r w:rsidR="00FA4AAD" w:rsidRPr="00FA4AAD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trwającego w dniach od </w:t>
      </w:r>
      <w:r w:rsidR="002E4A8A">
        <w:rPr>
          <w:rFonts w:ascii="Times New Roman" w:eastAsia="Calibri" w:hAnsi="Times New Roman" w:cs="Times New Roman"/>
          <w:sz w:val="24"/>
          <w:szCs w:val="24"/>
        </w:rPr>
        <w:t>11 do 15 czerwca</w:t>
      </w:r>
      <w:r w:rsidR="00FA4AAD" w:rsidRPr="00FA4AAD">
        <w:rPr>
          <w:rFonts w:ascii="Times New Roman" w:eastAsia="Calibri" w:hAnsi="Times New Roman" w:cs="Times New Roman"/>
          <w:sz w:val="24"/>
          <w:szCs w:val="24"/>
        </w:rPr>
        <w:t xml:space="preserve"> 2018 r. są:</w:t>
      </w:r>
    </w:p>
    <w:p w:rsidR="00FA4AAD" w:rsidRPr="00FA4AAD" w:rsidRDefault="002E4A8A" w:rsidP="00FA4A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Prawo karne materialne</w:t>
      </w:r>
      <w:r w:rsidR="00FA4AAD" w:rsidRPr="00FA4AA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okoliczności wyłączające i umniejszające winę; okoliczności wyłączające bezprawność czynu</w:t>
      </w:r>
      <w:r w:rsidR="00FA4AAD" w:rsidRPr="00FA4A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AAD" w:rsidRPr="00FA4AAD" w:rsidRDefault="00FA4AAD" w:rsidP="00FA4A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Prawo karne </w:t>
      </w:r>
      <w:r w:rsidR="002E4A8A">
        <w:rPr>
          <w:rFonts w:ascii="Times New Roman" w:eastAsia="Calibri" w:hAnsi="Times New Roman" w:cs="Times New Roman"/>
          <w:sz w:val="24"/>
          <w:szCs w:val="24"/>
          <w:u w:val="single"/>
        </w:rPr>
        <w:t>procesowe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E4A8A">
        <w:rPr>
          <w:rFonts w:ascii="Times New Roman" w:eastAsia="Calibri" w:hAnsi="Times New Roman" w:cs="Times New Roman"/>
          <w:sz w:val="24"/>
          <w:szCs w:val="24"/>
        </w:rPr>
        <w:t>konstruowanie postanowienia o przedstawieniu zarzutów oraz jego z</w:t>
      </w:r>
      <w:r w:rsidR="0079172C">
        <w:rPr>
          <w:rFonts w:ascii="Times New Roman" w:eastAsia="Calibri" w:hAnsi="Times New Roman" w:cs="Times New Roman"/>
          <w:sz w:val="24"/>
          <w:szCs w:val="24"/>
        </w:rPr>
        <w:t>mianie i uzupełnieniu; uzasadnia</w:t>
      </w:r>
      <w:r w:rsidR="002E4A8A">
        <w:rPr>
          <w:rFonts w:ascii="Times New Roman" w:eastAsia="Calibri" w:hAnsi="Times New Roman" w:cs="Times New Roman"/>
          <w:sz w:val="24"/>
          <w:szCs w:val="24"/>
        </w:rPr>
        <w:t>nie tych decyzji; dopuszczalność czynności dowodowych; zakazy dowodowe bezwarunkowe, warunkowe oraz art. 183 k.p.k.; specyfika przesłuchań w warunkach art. 185a, 185b i 185c k.p.k.</w:t>
      </w:r>
    </w:p>
    <w:p w:rsidR="00FA4AAD" w:rsidRPr="00FA4AAD" w:rsidRDefault="002E4A8A" w:rsidP="00FA4A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Kryminalistyka</w:t>
      </w:r>
      <w:r w:rsidR="00FA4AAD" w:rsidRPr="00FA4AA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zagadnienia taktyki kryminalistycznej; przygotowanie do symulacji przesłuchania; dowód poszlakowy; symulacja </w:t>
      </w:r>
      <w:r w:rsidR="009A7694">
        <w:rPr>
          <w:rFonts w:ascii="Times New Roman" w:eastAsia="Calibri" w:hAnsi="Times New Roman" w:cs="Times New Roman"/>
          <w:sz w:val="24"/>
          <w:szCs w:val="24"/>
        </w:rPr>
        <w:t xml:space="preserve">przesłuchania na odległość – zagadnienia </w:t>
      </w:r>
      <w:proofErr w:type="spellStart"/>
      <w:r w:rsidR="009A7694">
        <w:rPr>
          <w:rFonts w:ascii="Times New Roman" w:eastAsia="Calibri" w:hAnsi="Times New Roman" w:cs="Times New Roman"/>
          <w:sz w:val="24"/>
          <w:szCs w:val="24"/>
        </w:rPr>
        <w:t>organizacyjno</w:t>
      </w:r>
      <w:proofErr w:type="spellEnd"/>
      <w:r w:rsidR="009A7694">
        <w:rPr>
          <w:rFonts w:ascii="Times New Roman" w:eastAsia="Calibri" w:hAnsi="Times New Roman" w:cs="Times New Roman"/>
          <w:sz w:val="24"/>
          <w:szCs w:val="24"/>
        </w:rPr>
        <w:t xml:space="preserve"> - techniczne</w:t>
      </w:r>
      <w:r w:rsidR="00FA4AAD" w:rsidRPr="00FA4A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AAD" w:rsidRPr="00FA4AAD" w:rsidRDefault="00FA4AAD" w:rsidP="00FA4AAD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winni zatem zadbać, aby aplikanci w pierwszej kolejności mieli możliwość zapoznania się z praktycznymi aspektami pracy prokuratora 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objętym tematyką zjazdu</w:t>
      </w:r>
      <w:r w:rsidR="009A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szczególności nabyli umiejętność konstruowania postanowień o przedstawieniu zarzutów i ich uzasadnienia, a także ugruntowali umiejętność sporządzania planu śledztwa (czynności śledczych) </w:t>
      </w:r>
      <w:r w:rsidR="00500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76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o większym stopniu skomplikowania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A4AAD" w:rsidRPr="00FA4AAD" w:rsidRDefault="00FA4AAD" w:rsidP="00FA4AAD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AAD" w:rsidRPr="00FA4AAD" w:rsidRDefault="00FA4AAD" w:rsidP="00FA4AAD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</w:t>
      </w:r>
      <w:r w:rsidRPr="00FA4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podczas praktyk aplikanci powinni:</w:t>
      </w:r>
    </w:p>
    <w:p w:rsidR="00FA4AAD" w:rsidRDefault="00500D34" w:rsidP="00892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przeprowadzać analizy różnych stanów faktycznych i prawnych pod kątem</w:t>
      </w:r>
      <w:r w:rsidR="007917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właściwego dokonania oceny przesłanek faktycznych i prawnych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zgromadzonego materiału dowodowego przemawiających za podjęciem decyzji </w:t>
      </w:r>
      <w:r w:rsidR="00892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przedstawieniu zarzutów, ich zmianie lub uzupełnieniu;</w:t>
      </w:r>
    </w:p>
    <w:p w:rsidR="00892D37" w:rsidRPr="00FA4AAD" w:rsidRDefault="00892D37" w:rsidP="00892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dokonywać analizy wniosków dowodowych pod kątem dopuszczalności czynności dowodowych z uwzględnieniem zakazów dowodowych bezwarunkowych, warunkowych oraz </w:t>
      </w:r>
      <w:r w:rsidR="00F8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zapoznać się z warunkami </w:t>
      </w:r>
      <w:r w:rsidR="0079172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</w:t>
      </w:r>
      <w:r w:rsidR="00894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świadka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pouczenia wskazanego w art. 183 k.p.k.</w:t>
      </w:r>
    </w:p>
    <w:p w:rsidR="00FA4AAD" w:rsidRPr="00FA4AAD" w:rsidRDefault="00892D37" w:rsidP="00FA4A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zapoznać się </w:t>
      </w:r>
      <w:r w:rsidR="00FA4AA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z metodyką pracy prokuratora – patro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praktyk, a w szczególności uczestniczyć w czynnościach związanych z opracowaniem treści postanowienia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przedstawieniu (zmianie lub uzupełnieniu) zarzutów, jego ogłoszeniu oraz zapoznaniu podejrzanego z katalogiem przysługujących mu praw i obowiązków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A4AA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i formą pisemnych pouczeń oraz ze sposobem udokumentowania prawidłowego pouczenia</w:t>
      </w:r>
      <w:r w:rsidR="00FA4AA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A4AAD" w:rsidRDefault="00892D37" w:rsidP="00FA4A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zapoznać się </w:t>
      </w:r>
      <w:r w:rsidR="00FA4AA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metodyką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sposobem prowadzenia przesłuchań w warunkach 185a, 185b i 185c k.p.k. oraz uczestniczyć w tych czynnościach</w:t>
      </w:r>
      <w:r w:rsidR="00FA4AA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4AAD" w:rsidRPr="00FA4AAD" w:rsidRDefault="00FA4AAD" w:rsidP="00CC2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AAD" w:rsidRPr="00FA4AAD" w:rsidRDefault="00FA4AAD" w:rsidP="00FA4A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Aplikanci powinni także nabyć </w:t>
      </w:r>
      <w:r w:rsidR="00894F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utrwalić </w:t>
      </w:r>
      <w:r w:rsidRPr="00FA4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umiejętności związane:</w:t>
      </w:r>
    </w:p>
    <w:p w:rsidR="00FA4AAD" w:rsidRPr="00FA4AAD" w:rsidRDefault="00894F0E" w:rsidP="00FA4A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sporządzaniem projektów postanowień o przedstawieniu zarzutów, ich zmianie lub uzupełnieniu oraz pisemnych uzasadnień tych decyzji</w:t>
      </w:r>
      <w:r w:rsidR="00FA4AA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4AAD" w:rsidRDefault="00894F0E" w:rsidP="00FA4A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opracowywaniem projektów postanowień o przedstawieniu zarzutów dotyczących przestępstw popełnionych w warunkach: czynu ciągłego i ciągu przestępstw, kumulatywnej kwalifikacji prawnej, recydywy oraz różnych postaci form stadialnych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zjawiskowych, a także w warunkach ograniczonej </w:t>
      </w:r>
      <w:r w:rsidR="00654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zniesionej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poczytalności sprawcy</w:t>
      </w:r>
      <w:r w:rsidR="00FA4AAD"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94F0E" w:rsidRDefault="00894F0E" w:rsidP="00FA4A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sporządzaniem planu śledztwa (planu czynności śledczych) w sprawach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większym stopniu skomplikowania z uwzględnieniem: różnych wersji przebiegu zdarzenia, rysopisów NN sprawców, weryfikacji ewentualnego alibi</w:t>
      </w:r>
      <w:r w:rsidR="007917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innej linii obrony podejrzanego w sprawach dotyczących:</w:t>
      </w:r>
    </w:p>
    <w:p w:rsidR="00894F0E" w:rsidRDefault="00894F0E" w:rsidP="00894F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przestępstw kryminalnych, np. kradzieży z włamaniem, rozboju, zgwałcenia,</w:t>
      </w:r>
    </w:p>
    <w:p w:rsidR="004D27DD" w:rsidRDefault="004D27DD" w:rsidP="00894F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przestępstw przeciwko wolności, wolności seksualnej i obyczajności, przeciwko rodzinie i opiece</w:t>
      </w:r>
      <w:r w:rsidR="00F862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udziałem małoletniego,</w:t>
      </w:r>
    </w:p>
    <w:p w:rsidR="00894F0E" w:rsidRDefault="00894F0E" w:rsidP="00894F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zdarzeń drogowych,</w:t>
      </w:r>
    </w:p>
    <w:p w:rsidR="00894F0E" w:rsidRDefault="00894F0E" w:rsidP="00894F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przestępstw przeciwko obrotowi gospodarczemu,</w:t>
      </w:r>
    </w:p>
    <w:p w:rsidR="00894F0E" w:rsidRDefault="00894F0E" w:rsidP="00894F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przestępstw przeciwko ochronie informacji,</w:t>
      </w:r>
    </w:p>
    <w:p w:rsidR="00894F0E" w:rsidRPr="00894F0E" w:rsidRDefault="004D27DD" w:rsidP="00894F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protokołowanie</w:t>
      </w:r>
      <w:r w:rsidR="00F8622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2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świadków i podejrzanych w wymienionych powyżej kategoriach spraw z uwzględnieniem reguł dokumentowania poszczególnych rodzajó</w:t>
      </w:r>
      <w:r w:rsidR="002F3CD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pytań stawianych osobom przesłuchiwanym</w:t>
      </w:r>
      <w:r w:rsidR="00791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4AAD" w:rsidRPr="00FA4AAD" w:rsidRDefault="00FA4AAD" w:rsidP="00FA4AA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AAD" w:rsidRPr="00FA4AAD" w:rsidRDefault="00FA4AAD" w:rsidP="00FA4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Szczególnie istotne jest, aby w ramach odbywanej praktyki aplikanci mieli możliwość aktywnego zapoznania się z przebiegiem postępowań przygotowawczych, ze szczególnym zwróceniem uwagi </w:t>
      </w:r>
      <w:r w:rsidR="00791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117AB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polegające</w:t>
      </w:r>
      <w:bookmarkStart w:id="0" w:name="_GoBack"/>
      <w:bookmarkEnd w:id="0"/>
      <w:r w:rsidR="0051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opracowywaniu projektów postanowień </w:t>
      </w:r>
      <w:r w:rsidR="00F8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17A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przedstawieniu, zmianie lub uzupełnieniu zarzutów wraz z prawidłowym uzasadnieniem tych decyzji i doborem rzetelnej i właściwej argumentacji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. Ważnym jest, aby aplikanci mieli możliwość uczestniczenia w czynnościach związanych z</w:t>
      </w:r>
      <w:r w:rsidR="005117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przesłuchaniem </w:t>
      </w:r>
      <w:r w:rsidR="005117A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odejrzanych/świadków</w:t>
      </w:r>
      <w:r w:rsidR="0051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(także w trybie określonym w art. 185a, 185b i 185c k.p.k.),  właściwym formułowaniem pouczeń, sporządzaniem planów śledztw (planów czynności śledczych) w sprawach o większym stopniu skomplikowania</w:t>
      </w:r>
      <w:r w:rsidRPr="00FA4AA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FA4AAD" w:rsidRPr="00FA4AAD" w:rsidRDefault="00FA4AAD" w:rsidP="00FA4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Istotnym przy ocenie przez patronów praktyk prac wykonywanych przez aplikantów, zwłaszcza projektów sporządzanych przez nich decyzji, jest zwracanie uwagi nie tylko na merytoryczną trafność i formalną poprawność samego rozstrzygnięcia, ale i rodzaj użytej argumentacji, logikę i poprawność językową.</w:t>
      </w:r>
      <w:r w:rsidRPr="00FA4AA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przedmiotowej praktyki jest bowiem 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FA4AAD" w:rsidRPr="00FA4AAD" w:rsidRDefault="00FA4AAD" w:rsidP="00FA4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AAD" w:rsidRPr="00FA4AAD" w:rsidRDefault="00FA4AAD" w:rsidP="00FA4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AD">
        <w:rPr>
          <w:rFonts w:ascii="Times New Roman" w:eastAsia="Calibri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zwłaszcza takich, z którymi dotychczas jeszcze się nie zetknęli lub, w których nie uczestniczyli.</w:t>
      </w:r>
    </w:p>
    <w:p w:rsidR="00FA4AAD" w:rsidRPr="00FA4AAD" w:rsidRDefault="00FA4AAD" w:rsidP="00FA4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AAD" w:rsidRPr="00FA4AAD" w:rsidRDefault="00FA4AAD" w:rsidP="00FA4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informuję, że przedmiotem sprawdzianu, który aplikanci będą pisać po odbyciu praktyk po </w:t>
      </w:r>
      <w:r w:rsidR="0051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zjeździe (na początku 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V zjazdu) będzie</w:t>
      </w:r>
      <w:r w:rsidR="00D02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projektu postanowienia o przedstawieniu zarzutów z uzasadnieniem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A4AAD" w:rsidRPr="00FA4AAD" w:rsidRDefault="00FA4AAD" w:rsidP="00FA4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FA4AAD" w:rsidRPr="00FA4AAD" w:rsidRDefault="00FA4AAD" w:rsidP="00FA4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AAD" w:rsidRPr="00FA4AAD" w:rsidRDefault="00FA4AAD" w:rsidP="00FA4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AAD" w:rsidRPr="00FA4AAD" w:rsidRDefault="00FA4AAD" w:rsidP="00FA4AA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AAD" w:rsidRPr="00FA4AAD" w:rsidRDefault="00FA4AAD" w:rsidP="00FA4AAD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AAD" w:rsidRPr="00FA4AAD" w:rsidRDefault="00FA4AAD" w:rsidP="00FA4AA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Kierownik</w:t>
      </w:r>
    </w:p>
    <w:p w:rsidR="00FA4AAD" w:rsidRPr="00FA4AAD" w:rsidRDefault="00FA4AAD" w:rsidP="00FA4AA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FA4AAD" w:rsidRPr="00FA4AAD" w:rsidRDefault="00FA4AAD" w:rsidP="00FA4AA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FA4AAD" w:rsidRPr="00FA4AAD" w:rsidRDefault="00FA4AAD" w:rsidP="00FA4AA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FA4AAD" w:rsidRPr="00FA4AAD" w:rsidRDefault="00FA4AAD" w:rsidP="00FA4AA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FA4AAD" w:rsidRPr="00FA4AAD" w:rsidRDefault="00FA4AAD" w:rsidP="00FA4AA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Beata Padło</w:t>
      </w:r>
    </w:p>
    <w:p w:rsidR="00FA4AAD" w:rsidRPr="00FA4AAD" w:rsidRDefault="00FA4AAD" w:rsidP="00FA4AAD">
      <w:pPr>
        <w:spacing w:after="0" w:line="240" w:lineRule="auto"/>
        <w:jc w:val="center"/>
        <w:rPr>
          <w:rFonts w:ascii="Garamond" w:hAnsi="Garamond"/>
        </w:rPr>
      </w:pPr>
      <w:r w:rsidRPr="00FA4AAD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p w:rsidR="00FA4AAD" w:rsidRPr="00FA4AAD" w:rsidRDefault="00FA4AAD" w:rsidP="00FA4AAD">
      <w:pPr>
        <w:spacing w:after="0" w:line="240" w:lineRule="auto"/>
        <w:jc w:val="center"/>
        <w:rPr>
          <w:rFonts w:ascii="Garamond" w:hAnsi="Garamond"/>
        </w:rPr>
      </w:pPr>
    </w:p>
    <w:p w:rsidR="000B4076" w:rsidRDefault="000B4076"/>
    <w:sectPr w:rsidR="000B4076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23" w:rsidRDefault="00F25123">
      <w:pPr>
        <w:spacing w:after="0" w:line="240" w:lineRule="auto"/>
      </w:pPr>
      <w:r>
        <w:separator/>
      </w:r>
    </w:p>
  </w:endnote>
  <w:endnote w:type="continuationSeparator" w:id="0">
    <w:p w:rsidR="00F25123" w:rsidRDefault="00F2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23" w:rsidRDefault="00F25123">
      <w:pPr>
        <w:spacing w:after="0" w:line="240" w:lineRule="auto"/>
      </w:pPr>
      <w:r>
        <w:separator/>
      </w:r>
    </w:p>
  </w:footnote>
  <w:footnote w:type="continuationSeparator" w:id="0">
    <w:p w:rsidR="00F25123" w:rsidRDefault="00F2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F8622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79172C">
      <w:rPr>
        <w:noProof/>
      </w:rPr>
      <w:t>3</w:t>
    </w:r>
    <w:r>
      <w:fldChar w:fldCharType="end"/>
    </w:r>
  </w:p>
  <w:p w:rsidR="00014C36" w:rsidRDefault="00F2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F8622F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0CDCC5" wp14:editId="0B7E4A6F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F25123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F25123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F8622F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F8622F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F25123">
    <w:pPr>
      <w:pStyle w:val="Nagwek"/>
    </w:pPr>
  </w:p>
  <w:p w:rsidR="00162921" w:rsidRDefault="00F2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AD"/>
    <w:rsid w:val="000B4076"/>
    <w:rsid w:val="002E4A8A"/>
    <w:rsid w:val="002F3CDE"/>
    <w:rsid w:val="00342BE0"/>
    <w:rsid w:val="004D27DD"/>
    <w:rsid w:val="00500D34"/>
    <w:rsid w:val="005117AB"/>
    <w:rsid w:val="005E34C0"/>
    <w:rsid w:val="006546BC"/>
    <w:rsid w:val="0079172C"/>
    <w:rsid w:val="00892D37"/>
    <w:rsid w:val="00894F0E"/>
    <w:rsid w:val="009A7694"/>
    <w:rsid w:val="00B913C1"/>
    <w:rsid w:val="00CC254A"/>
    <w:rsid w:val="00D02229"/>
    <w:rsid w:val="00DE7392"/>
    <w:rsid w:val="00F25123"/>
    <w:rsid w:val="00F8622F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A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A4AA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4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A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A4AA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9</cp:revision>
  <dcterms:created xsi:type="dcterms:W3CDTF">2018-04-24T06:53:00Z</dcterms:created>
  <dcterms:modified xsi:type="dcterms:W3CDTF">2018-04-24T12:16:00Z</dcterms:modified>
</cp:coreProperties>
</file>