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E9" w:rsidRPr="004D4D4F" w:rsidRDefault="00382D87" w:rsidP="00382D87">
      <w:pPr>
        <w:spacing w:line="280" w:lineRule="auto"/>
        <w:rPr>
          <w:b/>
          <w:lang w:val="pl-PL"/>
        </w:rPr>
      </w:pPr>
      <w:r w:rsidRPr="008B1A77">
        <w:rPr>
          <w:b/>
          <w:lang w:val="pl-PL"/>
        </w:rPr>
        <w:t>1.4 (1) Zakres obowiązków</w:t>
      </w:r>
    </w:p>
    <w:p w:rsidR="004C4DE9" w:rsidRPr="004D4D4F" w:rsidRDefault="00382D87" w:rsidP="009175C7">
      <w:pPr>
        <w:pStyle w:val="Bezodstpw"/>
        <w:rPr>
          <w:lang w:val="pl-PL"/>
        </w:rPr>
      </w:pPr>
      <w:r w:rsidRPr="008B1A77">
        <w:rPr>
          <w:lang w:val="pl-PL"/>
        </w:rPr>
        <w:t xml:space="preserve">Obowiązki sędziego (według Kodeksu </w:t>
      </w:r>
      <w:r w:rsidR="004D4D4F">
        <w:rPr>
          <w:lang w:val="pl-PL"/>
        </w:rPr>
        <w:t>p</w:t>
      </w:r>
      <w:r w:rsidRPr="008B1A77">
        <w:rPr>
          <w:lang w:val="pl-PL"/>
        </w:rPr>
        <w:t xml:space="preserve">ostępowania </w:t>
      </w:r>
      <w:r w:rsidR="004D4D4F">
        <w:rPr>
          <w:lang w:val="pl-PL"/>
        </w:rPr>
        <w:t>c</w:t>
      </w:r>
      <w:r w:rsidRPr="008B1A77">
        <w:rPr>
          <w:lang w:val="pl-PL"/>
        </w:rPr>
        <w:t>ywilnego)</w:t>
      </w:r>
    </w:p>
    <w:p w:rsidR="004C4DE9" w:rsidRPr="004D4D4F" w:rsidRDefault="004C4DE9" w:rsidP="009175C7">
      <w:pPr>
        <w:pStyle w:val="Bezodstpw"/>
        <w:rPr>
          <w:lang w:val="pl-PL"/>
        </w:rPr>
      </w:pPr>
    </w:p>
    <w:p w:rsidR="004C4DE9" w:rsidRPr="004D4D4F" w:rsidRDefault="00382D87" w:rsidP="009175C7">
      <w:pPr>
        <w:pStyle w:val="Bezodstpw"/>
        <w:rPr>
          <w:lang w:val="pl-PL"/>
        </w:rPr>
      </w:pPr>
      <w:r w:rsidRPr="008B1A77">
        <w:rPr>
          <w:lang w:val="pl-PL"/>
        </w:rPr>
        <w:t>Pomoc związania z kosztami sądowymi (pomoc prawna) i obliczanie wysokości dochodu i majątku stron, co umożliwia im dokonywanie płatności w ratach, §</w:t>
      </w:r>
      <w:r w:rsidR="003F727F" w:rsidRPr="003F727F">
        <w:rPr>
          <w:lang w:val="pl-PL"/>
        </w:rPr>
        <w:t xml:space="preserve"> </w:t>
      </w:r>
      <w:r w:rsidRPr="008B1A77">
        <w:rPr>
          <w:lang w:val="pl-PL"/>
        </w:rPr>
        <w:t>114f</w:t>
      </w:r>
    </w:p>
    <w:p w:rsidR="004C4DE9" w:rsidRPr="004D4D4F" w:rsidRDefault="004C4DE9" w:rsidP="009175C7">
      <w:pPr>
        <w:pStyle w:val="Bezodstpw"/>
        <w:rPr>
          <w:lang w:val="pl-PL"/>
        </w:rPr>
      </w:pPr>
    </w:p>
    <w:p w:rsidR="004C4DE9" w:rsidRPr="008B1A77" w:rsidRDefault="00382D87" w:rsidP="009175C7">
      <w:pPr>
        <w:pStyle w:val="Bezodstpw"/>
        <w:rPr>
          <w:lang w:val="en-US"/>
        </w:rPr>
      </w:pPr>
      <w:r w:rsidRPr="008B1A77">
        <w:rPr>
          <w:lang w:val="pl-PL"/>
        </w:rPr>
        <w:t xml:space="preserve">Przygotowania do rozprawy, § </w:t>
      </w:r>
      <w:r w:rsidR="004C4DE9" w:rsidRPr="008B1A77">
        <w:rPr>
          <w:lang w:val="en-US"/>
        </w:rPr>
        <w:t>273</w:t>
      </w:r>
    </w:p>
    <w:p w:rsidR="004C4DE9" w:rsidRPr="004D4D4F" w:rsidRDefault="00382D87" w:rsidP="00CA10B1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 xml:space="preserve">Poinstruowanie stron w kwestii modyfikacji ich </w:t>
      </w:r>
      <w:r w:rsidR="00CA10B1" w:rsidRPr="008B1A77">
        <w:rPr>
          <w:lang w:val="pl-PL"/>
        </w:rPr>
        <w:t>przygotowawczych pism procesowych lub dostarczenia dodatkowych informacji</w:t>
      </w:r>
    </w:p>
    <w:p w:rsidR="004C4DE9" w:rsidRPr="004D4D4F" w:rsidRDefault="00CA10B1" w:rsidP="00CA10B1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Nakazanie stron przybycie na rozprawę osobiście</w:t>
      </w:r>
    </w:p>
    <w:p w:rsidR="004C4DE9" w:rsidRPr="004D4D4F" w:rsidRDefault="00CA10B1" w:rsidP="00CA10B1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 xml:space="preserve">Wezwanie na rozprawę świadków, na których </w:t>
      </w:r>
      <w:r w:rsidR="004D4D4F">
        <w:rPr>
          <w:lang w:val="pl-PL"/>
        </w:rPr>
        <w:t xml:space="preserve">strona się </w:t>
      </w:r>
      <w:r w:rsidRPr="008B1A77">
        <w:rPr>
          <w:lang w:val="pl-PL"/>
        </w:rPr>
        <w:t>powołał</w:t>
      </w:r>
      <w:r w:rsidR="004D4D4F">
        <w:rPr>
          <w:lang w:val="pl-PL"/>
        </w:rPr>
        <w:t>a</w:t>
      </w:r>
      <w:r w:rsidRPr="008B1A77">
        <w:rPr>
          <w:lang w:val="pl-PL"/>
        </w:rPr>
        <w:t xml:space="preserve"> oraz biegłych</w:t>
      </w:r>
    </w:p>
    <w:p w:rsidR="004C4DE9" w:rsidRPr="004D4D4F" w:rsidRDefault="004C4DE9" w:rsidP="009175C7">
      <w:pPr>
        <w:pStyle w:val="Bezodstpw"/>
        <w:rPr>
          <w:lang w:val="pl-PL"/>
        </w:rPr>
      </w:pPr>
    </w:p>
    <w:p w:rsidR="004C4DE9" w:rsidRPr="008B1A77" w:rsidRDefault="00CA10B1" w:rsidP="009175C7">
      <w:pPr>
        <w:pStyle w:val="Bezodstpw"/>
        <w:rPr>
          <w:lang w:val="en-US"/>
        </w:rPr>
      </w:pPr>
      <w:r w:rsidRPr="008B1A77">
        <w:rPr>
          <w:lang w:val="pl-PL"/>
        </w:rPr>
        <w:t xml:space="preserve">Kierowanie przebiegiem postępowania sądowego, § </w:t>
      </w:r>
      <w:r w:rsidR="004C4DE9" w:rsidRPr="008B1A77">
        <w:rPr>
          <w:lang w:val="en-US"/>
        </w:rPr>
        <w:t>136, 139</w:t>
      </w:r>
    </w:p>
    <w:p w:rsidR="004C4DE9" w:rsidRPr="004D4D4F" w:rsidRDefault="00CA10B1" w:rsidP="00CA10B1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Przewodniczący składu sędziowskiego winien otworzyć rozprawę i kierować jej przebiegiem</w:t>
      </w:r>
    </w:p>
    <w:p w:rsidR="004C4DE9" w:rsidRPr="004D4D4F" w:rsidRDefault="00CA10B1" w:rsidP="00CA10B1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Winien dopilnować, by sprawa została omówiona w sposób wyczerpujący, a rozprawa była kontynuowana bez zakłóceń aż do jej zakończenia</w:t>
      </w:r>
    </w:p>
    <w:p w:rsidR="004C4DE9" w:rsidRPr="004D4D4F" w:rsidRDefault="00CA10B1" w:rsidP="00400F5A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 xml:space="preserve">Przewodniczący składu sędziowskiego winien zamknąć rozprawę, jeżeli w opinii sądu sprawa została </w:t>
      </w:r>
      <w:r w:rsidR="00400F5A" w:rsidRPr="008B1A77">
        <w:rPr>
          <w:lang w:val="pl-PL"/>
        </w:rPr>
        <w:t>dogłębnie omówiona i ogłosić wyrok oraz zarządzenia sądu</w:t>
      </w:r>
    </w:p>
    <w:p w:rsidR="004C4DE9" w:rsidRPr="004D4D4F" w:rsidRDefault="00400F5A" w:rsidP="00400F5A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sąd ma omówić wraz ze stronami okoliczności i fakty</w:t>
      </w:r>
    </w:p>
    <w:p w:rsidR="004C4DE9" w:rsidRPr="004D4D4F" w:rsidRDefault="00400F5A" w:rsidP="00400F5A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 xml:space="preserve">zarówno pod kątem faktycznych aspektów sprawy jak i jej konsekwencji prawnych </w:t>
      </w:r>
    </w:p>
    <w:p w:rsidR="004C4DE9" w:rsidRPr="004D4D4F" w:rsidRDefault="00400F5A" w:rsidP="00400F5A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zapewni</w:t>
      </w:r>
      <w:r w:rsidR="004D4D4F">
        <w:rPr>
          <w:lang w:val="pl-PL"/>
        </w:rPr>
        <w:t>ć</w:t>
      </w:r>
      <w:r w:rsidRPr="008B1A77">
        <w:rPr>
          <w:lang w:val="pl-PL"/>
        </w:rPr>
        <w:t>, by strony sporu złożyły swoje oświadczenia w sposób terminowy i kompletny, w odniesieniu do wszelkich istotnych faktów</w:t>
      </w:r>
    </w:p>
    <w:p w:rsidR="004C4DE9" w:rsidRPr="004D4D4F" w:rsidRDefault="004C4DE9" w:rsidP="009175C7">
      <w:pPr>
        <w:pStyle w:val="Bezodstpw"/>
        <w:rPr>
          <w:lang w:val="pl-PL"/>
        </w:rPr>
      </w:pPr>
    </w:p>
    <w:p w:rsidR="004C4DE9" w:rsidRPr="004D4D4F" w:rsidRDefault="00400F5A" w:rsidP="009175C7">
      <w:pPr>
        <w:pStyle w:val="Bezodstpw"/>
        <w:rPr>
          <w:lang w:val="pl-PL"/>
        </w:rPr>
      </w:pPr>
      <w:r w:rsidRPr="008B1A77">
        <w:rPr>
          <w:lang w:val="pl-PL"/>
        </w:rPr>
        <w:t>Zbieranie dowodów (w określonych okolicznościach zbieraniem dowodów może zająć się oddelegowany w tym celu sędzia), § 355f</w:t>
      </w:r>
    </w:p>
    <w:p w:rsidR="004C4DE9" w:rsidRPr="008B1A77" w:rsidRDefault="00400F5A" w:rsidP="00400F5A">
      <w:pPr>
        <w:pStyle w:val="Bezodstpw"/>
        <w:numPr>
          <w:ilvl w:val="0"/>
          <w:numId w:val="1"/>
        </w:numPr>
        <w:rPr>
          <w:lang w:val="en-US"/>
        </w:rPr>
      </w:pPr>
      <w:r w:rsidRPr="008B1A77">
        <w:rPr>
          <w:lang w:val="pl-PL"/>
        </w:rPr>
        <w:t>dowody dostarczone przez oględziny wzrokowe</w:t>
      </w:r>
    </w:p>
    <w:p w:rsidR="004C4DE9" w:rsidRPr="008B1A77" w:rsidRDefault="00400F5A" w:rsidP="00400F5A">
      <w:pPr>
        <w:pStyle w:val="Bezodstpw"/>
        <w:numPr>
          <w:ilvl w:val="0"/>
          <w:numId w:val="1"/>
        </w:numPr>
        <w:rPr>
          <w:lang w:val="en-US"/>
        </w:rPr>
      </w:pPr>
      <w:r w:rsidRPr="008B1A77">
        <w:rPr>
          <w:lang w:val="pl-PL"/>
        </w:rPr>
        <w:t>dowody w postaci zeznań świadków</w:t>
      </w:r>
    </w:p>
    <w:p w:rsidR="004C4DE9" w:rsidRPr="008B1A77" w:rsidRDefault="00400F5A" w:rsidP="00400F5A">
      <w:pPr>
        <w:pStyle w:val="Bezodstpw"/>
        <w:numPr>
          <w:ilvl w:val="0"/>
          <w:numId w:val="1"/>
        </w:numPr>
        <w:rPr>
          <w:lang w:val="en-US"/>
        </w:rPr>
      </w:pPr>
      <w:r w:rsidRPr="008B1A77">
        <w:rPr>
          <w:lang w:val="pl-PL"/>
        </w:rPr>
        <w:t>dowody przedstawione przez biegłych</w:t>
      </w:r>
    </w:p>
    <w:p w:rsidR="004C4DE9" w:rsidRPr="004D4D4F" w:rsidRDefault="00400F5A" w:rsidP="00400F5A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dowody w postaci nagrań i dokumentów</w:t>
      </w:r>
    </w:p>
    <w:p w:rsidR="004C4DE9" w:rsidRPr="004D4D4F" w:rsidRDefault="004C4DE9" w:rsidP="009175C7">
      <w:pPr>
        <w:pStyle w:val="Bezodstpw"/>
        <w:rPr>
          <w:lang w:val="pl-PL"/>
        </w:rPr>
      </w:pPr>
    </w:p>
    <w:p w:rsidR="004C4DE9" w:rsidRPr="004D4D4F" w:rsidRDefault="00400F5A" w:rsidP="009175C7">
      <w:pPr>
        <w:pStyle w:val="Bezodstpw"/>
        <w:rPr>
          <w:lang w:val="pl-PL"/>
        </w:rPr>
      </w:pPr>
      <w:r w:rsidRPr="008B1A77">
        <w:rPr>
          <w:lang w:val="pl-PL"/>
        </w:rPr>
        <w:t>Przygotowanie protokołu z rozprawy, § 160f</w:t>
      </w:r>
      <w:r w:rsidR="00091074" w:rsidRPr="008B1A77">
        <w:rPr>
          <w:lang w:val="pl-PL"/>
        </w:rPr>
        <w:t>.</w:t>
      </w:r>
    </w:p>
    <w:p w:rsidR="004C4DE9" w:rsidRPr="004D4D4F" w:rsidRDefault="00091074" w:rsidP="00091074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poprzez nagranie ustnych oświadczeń na nośniku dźwiękowym lub danych</w:t>
      </w:r>
    </w:p>
    <w:p w:rsidR="004C4DE9" w:rsidRPr="004D4D4F" w:rsidRDefault="00091074" w:rsidP="00091074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protokół z rozprawy ma być podpisany przez przewodniczącego składu sędziowskiego i referenta rejestru sądowego</w:t>
      </w:r>
    </w:p>
    <w:p w:rsidR="004C4DE9" w:rsidRPr="004D4D4F" w:rsidRDefault="004C4DE9" w:rsidP="0035203A">
      <w:pPr>
        <w:pStyle w:val="Bezodstpw"/>
        <w:rPr>
          <w:lang w:val="pl-PL"/>
        </w:rPr>
      </w:pPr>
    </w:p>
    <w:p w:rsidR="004C4DE9" w:rsidRPr="008B1A77" w:rsidRDefault="00091074" w:rsidP="00BA669D">
      <w:pPr>
        <w:pStyle w:val="Bezodstpw"/>
        <w:rPr>
          <w:lang w:val="en-US"/>
        </w:rPr>
      </w:pPr>
      <w:r w:rsidRPr="008B1A77">
        <w:rPr>
          <w:lang w:val="pl-PL"/>
        </w:rPr>
        <w:t xml:space="preserve">Orzeczenie sądu, § </w:t>
      </w:r>
      <w:r w:rsidR="004C4DE9" w:rsidRPr="008B1A77">
        <w:rPr>
          <w:lang w:val="en-US"/>
        </w:rPr>
        <w:t>310</w:t>
      </w:r>
    </w:p>
    <w:p w:rsidR="004C4DE9" w:rsidRPr="004D4D4F" w:rsidRDefault="00091074" w:rsidP="00091074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ma być ogłoszone podczas rozprawy kończącej postępowanie sądowe bądź na rozprawie, której termin ma zostać niezwłocznie ustalony</w:t>
      </w:r>
      <w:r w:rsidR="003139C6">
        <w:rPr>
          <w:lang w:val="pl-PL"/>
        </w:rPr>
        <w:t>.</w:t>
      </w:r>
      <w:r w:rsidR="003F727F" w:rsidRPr="003F727F">
        <w:rPr>
          <w:lang w:val="pl-PL"/>
        </w:rPr>
        <w:t xml:space="preserve"> </w:t>
      </w:r>
      <w:r w:rsidRPr="008B1A77">
        <w:rPr>
          <w:lang w:val="pl-PL"/>
        </w:rPr>
        <w:t>Rozprawa taka będzie mogła się odbyć później niż trzy (3) tygodnie od czasu ostatniej rozprawy jedynie w wyjątkowych okolicznościach, podyktowanych złożoną naturą sprawy</w:t>
      </w:r>
    </w:p>
    <w:p w:rsidR="004C4DE9" w:rsidRPr="004D4D4F" w:rsidRDefault="00091074" w:rsidP="00091074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>jeżeli orzeczenie sądu nie zostanie ogłoszone podczas rozprawy, musi zostać w sposób wyraźny i kompletny zostać przedstawione w momencie jego ogłaszania</w:t>
      </w:r>
    </w:p>
    <w:p w:rsidR="004C4DE9" w:rsidRPr="004D4D4F" w:rsidRDefault="004C4DE9" w:rsidP="0035203A">
      <w:pPr>
        <w:pStyle w:val="Bezodstpw"/>
        <w:rPr>
          <w:lang w:val="pl-PL"/>
        </w:rPr>
      </w:pPr>
    </w:p>
    <w:p w:rsidR="004C4DE9" w:rsidRPr="004D4D4F" w:rsidRDefault="00091074" w:rsidP="00BA669D">
      <w:pPr>
        <w:pStyle w:val="Bezodstpw"/>
        <w:rPr>
          <w:lang w:val="pl-PL"/>
        </w:rPr>
      </w:pPr>
      <w:r w:rsidRPr="008B1A77">
        <w:rPr>
          <w:lang w:val="pl-PL"/>
        </w:rPr>
        <w:t xml:space="preserve">Zarządzenie </w:t>
      </w:r>
      <w:r w:rsidR="00123012" w:rsidRPr="008B1A77">
        <w:rPr>
          <w:lang w:val="pl-PL"/>
        </w:rPr>
        <w:t>dotyczące</w:t>
      </w:r>
      <w:r w:rsidRPr="008B1A77">
        <w:rPr>
          <w:lang w:val="pl-PL"/>
        </w:rPr>
        <w:t xml:space="preserve"> obowiązku pokrycia kosztów oraz decyzja, czy prawomocny wyrok został wydany </w:t>
      </w:r>
      <w:r w:rsidR="00123012" w:rsidRPr="008B1A77">
        <w:rPr>
          <w:lang w:val="pl-PL"/>
        </w:rPr>
        <w:t xml:space="preserve">pod zabezpieczenie (zabezpieczenie może zostać określone </w:t>
      </w:r>
      <w:r w:rsidR="00123012" w:rsidRPr="008B1A77">
        <w:rPr>
          <w:lang w:val="pl-PL"/>
        </w:rPr>
        <w:lastRenderedPageBreak/>
        <w:t>jako ustalony odsetek kwoty, jaka zostanie zasądzona w danym przypadku – tak by sędzia nie musiał dokonywać obliczeń)</w:t>
      </w:r>
    </w:p>
    <w:p w:rsidR="004C4DE9" w:rsidRPr="004D4D4F" w:rsidRDefault="004C4DE9" w:rsidP="00BA669D">
      <w:pPr>
        <w:pStyle w:val="Bezodstpw"/>
        <w:rPr>
          <w:lang w:val="pl-PL"/>
        </w:rPr>
      </w:pPr>
    </w:p>
    <w:p w:rsidR="004C4DE9" w:rsidRPr="004D4D4F" w:rsidRDefault="00123012" w:rsidP="00BA669D">
      <w:pPr>
        <w:pStyle w:val="Bezodstpw"/>
        <w:rPr>
          <w:lang w:val="pl-PL"/>
        </w:rPr>
      </w:pPr>
      <w:r w:rsidRPr="008B1A77">
        <w:rPr>
          <w:lang w:val="pl-PL"/>
        </w:rPr>
        <w:t>Procedura wyceny kosztów przez referentów</w:t>
      </w:r>
    </w:p>
    <w:p w:rsidR="004C4DE9" w:rsidRPr="004D4D4F" w:rsidRDefault="004C4DE9" w:rsidP="00BA669D">
      <w:pPr>
        <w:pStyle w:val="Bezodstpw"/>
        <w:rPr>
          <w:lang w:val="pl-PL"/>
        </w:rPr>
      </w:pPr>
    </w:p>
    <w:p w:rsidR="004C4DE9" w:rsidRPr="004D4D4F" w:rsidRDefault="003139C6" w:rsidP="00BA669D">
      <w:pPr>
        <w:pStyle w:val="Bezodstpw"/>
        <w:rPr>
          <w:lang w:val="pl-PL"/>
        </w:rPr>
      </w:pPr>
      <w:r>
        <w:rPr>
          <w:lang w:val="pl-PL"/>
        </w:rPr>
        <w:t>Przymusowa</w:t>
      </w:r>
      <w:r w:rsidRPr="008B1A77">
        <w:rPr>
          <w:lang w:val="pl-PL"/>
        </w:rPr>
        <w:t xml:space="preserve"> </w:t>
      </w:r>
      <w:r w:rsidR="00123012" w:rsidRPr="008B1A77">
        <w:rPr>
          <w:lang w:val="pl-PL"/>
        </w:rPr>
        <w:t>egzekucja</w:t>
      </w:r>
    </w:p>
    <w:p w:rsidR="004C4DE9" w:rsidRPr="004D4D4F" w:rsidRDefault="00123012" w:rsidP="008B1A77">
      <w:pPr>
        <w:pStyle w:val="Bezodstpw"/>
        <w:numPr>
          <w:ilvl w:val="0"/>
          <w:numId w:val="1"/>
        </w:numPr>
        <w:rPr>
          <w:lang w:val="pl-PL"/>
        </w:rPr>
      </w:pPr>
      <w:r w:rsidRPr="008B1A77">
        <w:rPr>
          <w:lang w:val="pl-PL"/>
        </w:rPr>
        <w:t xml:space="preserve">zasądzenie </w:t>
      </w:r>
      <w:r w:rsidR="008B1A77" w:rsidRPr="008B1A77">
        <w:rPr>
          <w:lang w:val="pl-PL"/>
        </w:rPr>
        <w:t xml:space="preserve">przymusowej </w:t>
      </w:r>
      <w:r w:rsidRPr="008B1A77">
        <w:rPr>
          <w:lang w:val="pl-PL"/>
        </w:rPr>
        <w:t xml:space="preserve">kary pieniężnej </w:t>
      </w:r>
      <w:r w:rsidR="008B1A77" w:rsidRPr="008B1A77">
        <w:rPr>
          <w:lang w:val="pl-PL"/>
        </w:rPr>
        <w:t>lub przymusowa grzywna bądź, w przypadku gdy taka płatność nie może zostać uzyskana, przymusowy areszt</w:t>
      </w:r>
    </w:p>
    <w:p w:rsidR="004C4DE9" w:rsidRPr="008B1A77" w:rsidRDefault="003139C6" w:rsidP="008B1A77">
      <w:pPr>
        <w:pStyle w:val="Bezodstpw"/>
        <w:numPr>
          <w:ilvl w:val="0"/>
          <w:numId w:val="1"/>
        </w:numPr>
        <w:rPr>
          <w:lang w:val="en-US"/>
        </w:rPr>
      </w:pPr>
      <w:r>
        <w:rPr>
          <w:lang w:val="pl-PL"/>
        </w:rPr>
        <w:t>d</w:t>
      </w:r>
      <w:r w:rsidR="008B1A77" w:rsidRPr="008B1A77">
        <w:rPr>
          <w:lang w:val="pl-PL"/>
        </w:rPr>
        <w:t>ostarczenie nakazu aresztu</w:t>
      </w:r>
    </w:p>
    <w:p w:rsidR="004C4DE9" w:rsidRPr="008B1A77" w:rsidRDefault="004C4DE9" w:rsidP="00541F0D">
      <w:pPr>
        <w:pStyle w:val="Bezodstpw"/>
        <w:rPr>
          <w:lang w:val="en-US"/>
        </w:rPr>
      </w:pPr>
    </w:p>
    <w:p w:rsidR="004C4DE9" w:rsidRPr="004D4D4F" w:rsidRDefault="008B1A77" w:rsidP="00541F0D">
      <w:pPr>
        <w:pStyle w:val="Bezodstpw"/>
        <w:rPr>
          <w:lang w:val="pl-PL"/>
        </w:rPr>
      </w:pPr>
      <w:r w:rsidRPr="008B1A77">
        <w:rPr>
          <w:lang w:val="pl-PL"/>
        </w:rPr>
        <w:t>Doręczaniem protokołów i dokumentów oraz wezwań do sądu świadków zajmuje się rejestr sądowy (wyjątek:</w:t>
      </w:r>
      <w:r w:rsidR="003F727F" w:rsidRPr="003F727F">
        <w:rPr>
          <w:lang w:val="pl-PL"/>
        </w:rPr>
        <w:t xml:space="preserve"> </w:t>
      </w:r>
      <w:r w:rsidRPr="008B1A77">
        <w:rPr>
          <w:lang w:val="pl-PL"/>
        </w:rPr>
        <w:t>Sędzia decyduje, czy dopuścić doręczenie drogą publikacji)</w:t>
      </w:r>
    </w:p>
    <w:sectPr w:rsidR="004C4DE9" w:rsidRPr="004D4D4F" w:rsidSect="00CB6E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D48A4"/>
    <w:multiLevelType w:val="hybridMultilevel"/>
    <w:tmpl w:val="D95E8FE4"/>
    <w:lvl w:ilvl="0" w:tplc="5F50FD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5C7"/>
    <w:rsid w:val="00091074"/>
    <w:rsid w:val="000A3779"/>
    <w:rsid w:val="000C6C03"/>
    <w:rsid w:val="000E605F"/>
    <w:rsid w:val="00123012"/>
    <w:rsid w:val="001F3C54"/>
    <w:rsid w:val="002A0CA1"/>
    <w:rsid w:val="002A1B93"/>
    <w:rsid w:val="003139C6"/>
    <w:rsid w:val="0035203A"/>
    <w:rsid w:val="00382D87"/>
    <w:rsid w:val="00397121"/>
    <w:rsid w:val="003F727F"/>
    <w:rsid w:val="00400F5A"/>
    <w:rsid w:val="004C4DE9"/>
    <w:rsid w:val="004D4D4F"/>
    <w:rsid w:val="00541F0D"/>
    <w:rsid w:val="0056182C"/>
    <w:rsid w:val="006458AF"/>
    <w:rsid w:val="006F4EE8"/>
    <w:rsid w:val="007753BC"/>
    <w:rsid w:val="0085191C"/>
    <w:rsid w:val="008B1A77"/>
    <w:rsid w:val="009175C7"/>
    <w:rsid w:val="009B6372"/>
    <w:rsid w:val="009D1757"/>
    <w:rsid w:val="009E4946"/>
    <w:rsid w:val="00B218DC"/>
    <w:rsid w:val="00B23263"/>
    <w:rsid w:val="00B761C1"/>
    <w:rsid w:val="00BA669D"/>
    <w:rsid w:val="00CA10B1"/>
    <w:rsid w:val="00CB6E82"/>
    <w:rsid w:val="00D551D2"/>
    <w:rsid w:val="00D72C00"/>
    <w:rsid w:val="00E06E2B"/>
    <w:rsid w:val="00E93EFB"/>
    <w:rsid w:val="00F5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B761C1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C0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Biuro Tłumaczeń VIVALANG | www.vivalang.pl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Biuro Tłumaczeń VIVALANG | www.vivalang.pl</dc:creator>
  <cp:lastModifiedBy>PM3</cp:lastModifiedBy>
  <cp:revision>3</cp:revision>
  <dcterms:created xsi:type="dcterms:W3CDTF">2013-04-08T06:24:00Z</dcterms:created>
  <dcterms:modified xsi:type="dcterms:W3CDTF">2013-04-08T07:43:00Z</dcterms:modified>
</cp:coreProperties>
</file>