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F4" w:rsidRPr="00660843" w:rsidRDefault="0038151B" w:rsidP="0038151B">
      <w:pPr>
        <w:spacing w:line="280" w:lineRule="auto"/>
        <w:rPr>
          <w:b/>
        </w:rPr>
      </w:pPr>
      <w:r w:rsidRPr="0038151B">
        <w:rPr>
          <w:b/>
          <w:lang w:val="pl-PL"/>
        </w:rPr>
        <w:t>1.1 (3) Zarządzanie obciążeniem pracą systemu sądowego</w:t>
      </w:r>
    </w:p>
    <w:p w:rsidR="00795DF4" w:rsidRPr="002C758C" w:rsidRDefault="00795DF4" w:rsidP="002C758C">
      <w:pPr>
        <w:pStyle w:val="Bezodstpw"/>
        <w:rPr>
          <w:lang w:val="en-US"/>
        </w:rPr>
      </w:pPr>
    </w:p>
    <w:p w:rsidR="00795DF4" w:rsidRPr="007A3FFF" w:rsidRDefault="0038151B" w:rsidP="0038151B">
      <w:pPr>
        <w:pStyle w:val="Bezodstpw"/>
        <w:numPr>
          <w:ilvl w:val="0"/>
          <w:numId w:val="3"/>
        </w:numPr>
        <w:rPr>
          <w:lang w:val="pl-PL"/>
        </w:rPr>
      </w:pPr>
      <w:r w:rsidRPr="0038151B">
        <w:rPr>
          <w:lang w:val="pl-PL"/>
        </w:rPr>
        <w:t>Roczny harmonogram obowiązków izb (sędziów)</w:t>
      </w:r>
    </w:p>
    <w:p w:rsidR="00795DF4" w:rsidRPr="007A3FFF" w:rsidRDefault="00795DF4" w:rsidP="008D4085">
      <w:pPr>
        <w:pStyle w:val="Bezodstpw"/>
        <w:rPr>
          <w:lang w:val="pl-PL"/>
        </w:rPr>
      </w:pPr>
    </w:p>
    <w:p w:rsidR="00795DF4" w:rsidRPr="007A3FFF" w:rsidRDefault="0038151B" w:rsidP="008D4085">
      <w:pPr>
        <w:pStyle w:val="Bezodstpw"/>
        <w:rPr>
          <w:lang w:val="pl-PL"/>
        </w:rPr>
      </w:pPr>
      <w:r w:rsidRPr="0038151B">
        <w:rPr>
          <w:lang w:val="pl-PL"/>
        </w:rPr>
        <w:t>Zasada „przestrzegania prawa i naturalności sędziego”: przydzielanie spraw sądowych przez prezydium musi być abstrakcyjne (nie dopuszczalne jest przydzielanie konkretnej sprawy konkretnemu sędziemu)</w:t>
      </w:r>
    </w:p>
    <w:p w:rsidR="00795DF4" w:rsidRPr="007A3FFF" w:rsidRDefault="00795DF4" w:rsidP="008D4085">
      <w:pPr>
        <w:pStyle w:val="Bezodstpw"/>
        <w:rPr>
          <w:lang w:val="pl-PL"/>
        </w:rPr>
      </w:pPr>
    </w:p>
    <w:p w:rsidR="00795DF4" w:rsidRPr="007A3FFF" w:rsidRDefault="0038151B" w:rsidP="008D4085">
      <w:pPr>
        <w:pStyle w:val="Bezodstpw"/>
        <w:rPr>
          <w:lang w:val="pl-PL"/>
        </w:rPr>
      </w:pPr>
      <w:r w:rsidRPr="0038151B">
        <w:rPr>
          <w:lang w:val="pl-PL"/>
        </w:rPr>
        <w:t>Bardziej szczegółowe przyjrzenie się harmonogramowi obowiązków sądu rejonowego w Lipsku</w:t>
      </w:r>
    </w:p>
    <w:p w:rsidR="00795DF4" w:rsidRPr="007A3FFF" w:rsidRDefault="00795DF4" w:rsidP="008D4085">
      <w:pPr>
        <w:pStyle w:val="Bezodstpw"/>
        <w:rPr>
          <w:lang w:val="pl-PL"/>
        </w:rPr>
      </w:pPr>
    </w:p>
    <w:p w:rsidR="00795DF4" w:rsidRPr="007A3FFF" w:rsidRDefault="0038151B" w:rsidP="008D4085">
      <w:pPr>
        <w:pStyle w:val="Bezodstpw"/>
        <w:rPr>
          <w:lang w:val="pl-PL"/>
        </w:rPr>
      </w:pPr>
      <w:r w:rsidRPr="0038151B">
        <w:rPr>
          <w:lang w:val="pl-PL"/>
        </w:rPr>
        <w:t xml:space="preserve">Ustanowienie izb (zgodnie z tłumaczeniem Ustawy o </w:t>
      </w:r>
      <w:r w:rsidR="007A3FFF">
        <w:rPr>
          <w:lang w:val="pl-PL"/>
        </w:rPr>
        <w:t>Ustroju</w:t>
      </w:r>
      <w:r w:rsidR="007A3FFF" w:rsidRPr="0038151B">
        <w:rPr>
          <w:lang w:val="pl-PL"/>
        </w:rPr>
        <w:t xml:space="preserve"> </w:t>
      </w:r>
      <w:r w:rsidR="007A3FFF">
        <w:rPr>
          <w:lang w:val="pl-PL"/>
        </w:rPr>
        <w:t>s</w:t>
      </w:r>
      <w:r w:rsidRPr="0038151B">
        <w:rPr>
          <w:lang w:val="pl-PL"/>
        </w:rPr>
        <w:t>ądów (CCA) federalnego ministerstwa sprawiedliwości, izby nazywane są wydziałami).</w:t>
      </w:r>
    </w:p>
    <w:p w:rsidR="00795DF4" w:rsidRPr="007A3FFF" w:rsidRDefault="00795DF4" w:rsidP="008D4085">
      <w:pPr>
        <w:pStyle w:val="Bezodstpw"/>
        <w:rPr>
          <w:lang w:val="pl-PL"/>
        </w:rPr>
      </w:pPr>
    </w:p>
    <w:p w:rsidR="00795DF4" w:rsidRPr="0038151B" w:rsidRDefault="0038151B" w:rsidP="0038151B">
      <w:pPr>
        <w:pStyle w:val="Bezodstpw"/>
        <w:numPr>
          <w:ilvl w:val="0"/>
          <w:numId w:val="2"/>
        </w:numPr>
        <w:rPr>
          <w:lang w:val="en-US"/>
        </w:rPr>
      </w:pPr>
      <w:r w:rsidRPr="0038151B">
        <w:rPr>
          <w:lang w:val="pl-PL"/>
        </w:rPr>
        <w:t>10 izb (wydziałów) cywilnych</w:t>
      </w:r>
    </w:p>
    <w:p w:rsidR="00795DF4" w:rsidRPr="0038151B" w:rsidRDefault="0038151B" w:rsidP="0038151B">
      <w:pPr>
        <w:pStyle w:val="Bezodstpw"/>
        <w:numPr>
          <w:ilvl w:val="0"/>
          <w:numId w:val="2"/>
        </w:numPr>
        <w:rPr>
          <w:lang w:val="en-US"/>
        </w:rPr>
      </w:pPr>
      <w:r w:rsidRPr="0038151B">
        <w:rPr>
          <w:lang w:val="pl-PL"/>
        </w:rPr>
        <w:t>4 izby (wydziały) handlowe</w:t>
      </w:r>
    </w:p>
    <w:p w:rsidR="00795DF4" w:rsidRPr="0038151B" w:rsidRDefault="0038151B" w:rsidP="0038151B">
      <w:pPr>
        <w:pStyle w:val="Bezodstpw"/>
        <w:numPr>
          <w:ilvl w:val="0"/>
          <w:numId w:val="2"/>
        </w:numPr>
        <w:rPr>
          <w:lang w:val="en-US"/>
        </w:rPr>
      </w:pPr>
      <w:r w:rsidRPr="0038151B">
        <w:rPr>
          <w:lang w:val="pl-PL"/>
        </w:rPr>
        <w:t xml:space="preserve">1 izba ds. </w:t>
      </w:r>
      <w:r>
        <w:rPr>
          <w:lang w:val="pl-PL"/>
        </w:rPr>
        <w:t xml:space="preserve">gruntów </w:t>
      </w:r>
      <w:r w:rsidRPr="0038151B">
        <w:rPr>
          <w:lang w:val="pl-PL"/>
        </w:rPr>
        <w:t>budowlanych</w:t>
      </w:r>
    </w:p>
    <w:p w:rsidR="00795DF4" w:rsidRPr="007A3FFF" w:rsidRDefault="0038151B" w:rsidP="0038151B">
      <w:pPr>
        <w:pStyle w:val="Bezodstpw"/>
        <w:numPr>
          <w:ilvl w:val="0"/>
          <w:numId w:val="2"/>
        </w:numPr>
        <w:rPr>
          <w:lang w:val="pl-PL"/>
        </w:rPr>
      </w:pPr>
      <w:r w:rsidRPr="0038151B">
        <w:rPr>
          <w:lang w:val="pl-PL"/>
        </w:rPr>
        <w:t>14 izb karnych (większe izby karne, mniejsze izby karne, izba karna z ławnikami, izby ds. niepełnoletnich, izby ds. przestępstw gospodarczych, izba ds. wykonywania wyroków, izby z jurysdykcją nad grzywnami administracyjnymi)</w:t>
      </w:r>
    </w:p>
    <w:p w:rsidR="00795DF4" w:rsidRPr="007A3FFF" w:rsidRDefault="00795DF4" w:rsidP="002B0865">
      <w:pPr>
        <w:pStyle w:val="Bezodstpw"/>
        <w:rPr>
          <w:lang w:val="pl-PL"/>
        </w:rPr>
      </w:pPr>
    </w:p>
    <w:p w:rsidR="00795DF4" w:rsidRPr="007A3FFF" w:rsidRDefault="0038151B" w:rsidP="002B0865">
      <w:pPr>
        <w:pStyle w:val="Bezodstpw"/>
        <w:rPr>
          <w:lang w:val="pl-PL"/>
        </w:rPr>
      </w:pPr>
      <w:r w:rsidRPr="0038151B">
        <w:rPr>
          <w:lang w:val="pl-PL"/>
        </w:rPr>
        <w:t>Następnie skład izb i ich obowiązki (kompetencje), np. piątej izby cywilnej</w:t>
      </w:r>
      <w:r w:rsidR="007A3FFF">
        <w:rPr>
          <w:lang w:val="pl-PL"/>
        </w:rPr>
        <w:t>.</w:t>
      </w:r>
      <w:r w:rsidRPr="0038151B">
        <w:rPr>
          <w:lang w:val="pl-PL"/>
        </w:rPr>
        <w:t xml:space="preserve"> </w:t>
      </w:r>
      <w:r w:rsidRPr="00C542EA">
        <w:rPr>
          <w:lang w:val="pl-PL"/>
        </w:rPr>
        <w:t xml:space="preserve">Oprócz mnie, jako przewodniczącego składu sędziowskiego, w izbie zasiada jeszcze czterech sędziów. </w:t>
      </w:r>
      <w:r w:rsidR="00C542EA" w:rsidRPr="00C542EA">
        <w:rPr>
          <w:lang w:val="pl-PL"/>
        </w:rPr>
        <w:t>Zajmujemy się prawem znaków towarowych, prawem autorskim, prawem wzorów, prawem antytrustowym, prawem konkurencji i prawem patentowym. Sprawy są przydzielane piątej izbie zgodnie z zasadą rotacji.</w:t>
      </w:r>
      <w:r w:rsidR="00795DF4" w:rsidRPr="007A3FFF">
        <w:rPr>
          <w:lang w:val="pl-PL"/>
        </w:rPr>
        <w:t xml:space="preserve"> </w:t>
      </w:r>
      <w:r w:rsidR="00C542EA" w:rsidRPr="00C542EA">
        <w:rPr>
          <w:lang w:val="pl-PL"/>
        </w:rPr>
        <w:t>Centralny rejestr departamentu cywilnego numeruje sprawy po ich wpłynięciu i przekazuje je odpowiedzialnej izbie.</w:t>
      </w:r>
      <w:r w:rsidR="00795DF4" w:rsidRPr="007A3FFF">
        <w:rPr>
          <w:lang w:val="pl-PL"/>
        </w:rPr>
        <w:t xml:space="preserve"> </w:t>
      </w:r>
      <w:r w:rsidR="00C542EA" w:rsidRPr="00C542EA">
        <w:rPr>
          <w:lang w:val="pl-PL"/>
        </w:rPr>
        <w:t>Zgodnie z postanowieniami rocznego harmonogramu, może się tym zajmować jedynie dwóch pracowników.</w:t>
      </w:r>
    </w:p>
    <w:p w:rsidR="00795DF4" w:rsidRPr="007A3FFF" w:rsidRDefault="00795DF4" w:rsidP="00355CED">
      <w:pPr>
        <w:pStyle w:val="Bezodstpw"/>
        <w:rPr>
          <w:lang w:val="pl-PL"/>
        </w:rPr>
      </w:pPr>
    </w:p>
    <w:p w:rsidR="00795DF4" w:rsidRPr="007A3FFF" w:rsidRDefault="00C542EA" w:rsidP="00355CED">
      <w:pPr>
        <w:pStyle w:val="Bezodstpw"/>
        <w:rPr>
          <w:lang w:val="pl-PL"/>
        </w:rPr>
      </w:pPr>
      <w:r w:rsidRPr="00C542EA">
        <w:rPr>
          <w:lang w:val="pl-PL"/>
        </w:rPr>
        <w:t>Następnie zaprezentowane zostały ogólne zasady przydzielania spraw sędziom oraz dalsze regulacje i przepisy, np. dotyczące spraw z faktycznymi powiązaniami.</w:t>
      </w:r>
      <w:r w:rsidR="00795DF4" w:rsidRPr="007A3FFF">
        <w:rPr>
          <w:lang w:val="pl-PL"/>
        </w:rPr>
        <w:t xml:space="preserve"> </w:t>
      </w:r>
      <w:r w:rsidRPr="00C542EA">
        <w:rPr>
          <w:lang w:val="pl-PL"/>
        </w:rPr>
        <w:t>Ponadto roczny harmonogram określa, które izby zastępują się w swoich czynnościach, co stanie się z aktami sędziego po przeniesieniu go do innego sądu lub w sytuacji dłuższej nieobecności itp.</w:t>
      </w:r>
    </w:p>
    <w:p w:rsidR="00795DF4" w:rsidRPr="007A3FFF" w:rsidRDefault="00795DF4" w:rsidP="00355CED">
      <w:pPr>
        <w:pStyle w:val="Bezodstpw"/>
        <w:rPr>
          <w:lang w:val="pl-PL"/>
        </w:rPr>
      </w:pPr>
    </w:p>
    <w:p w:rsidR="00795DF4" w:rsidRPr="007A3FFF" w:rsidRDefault="00C542EA" w:rsidP="00C542EA">
      <w:pPr>
        <w:pStyle w:val="Bezodstpw"/>
        <w:numPr>
          <w:ilvl w:val="0"/>
          <w:numId w:val="3"/>
        </w:numPr>
        <w:rPr>
          <w:lang w:val="pl-PL"/>
        </w:rPr>
      </w:pPr>
      <w:r w:rsidRPr="00C542EA">
        <w:rPr>
          <w:lang w:val="pl-PL"/>
        </w:rPr>
        <w:t>przydzielanie spraw w obrębie izby (wewnętrzny harmonogram obowiązków), § 21g CCA</w:t>
      </w:r>
    </w:p>
    <w:p w:rsidR="00795DF4" w:rsidRPr="007A3FFF" w:rsidRDefault="00795DF4" w:rsidP="002C758C">
      <w:pPr>
        <w:pStyle w:val="Bezodstpw"/>
        <w:rPr>
          <w:lang w:val="pl-PL"/>
        </w:rPr>
      </w:pPr>
    </w:p>
    <w:p w:rsidR="00795DF4" w:rsidRPr="007A3FFF" w:rsidRDefault="00C542EA" w:rsidP="002C758C">
      <w:pPr>
        <w:pStyle w:val="Bezodstpw"/>
        <w:rPr>
          <w:lang w:val="pl-PL"/>
        </w:rPr>
      </w:pPr>
      <w:r w:rsidRPr="00C542EA">
        <w:rPr>
          <w:lang w:val="pl-PL"/>
        </w:rPr>
        <w:t>W ramach organu orzekającego prace sądowe rozdzielane są pomiędzy członków zgodnie z decyzją wszystkich zawodowych sędziów.</w:t>
      </w:r>
    </w:p>
    <w:p w:rsidR="00795DF4" w:rsidRPr="007A3FFF" w:rsidRDefault="00795DF4" w:rsidP="002C758C">
      <w:pPr>
        <w:pStyle w:val="Bezodstpw"/>
        <w:rPr>
          <w:lang w:val="pl-PL"/>
        </w:rPr>
      </w:pPr>
    </w:p>
    <w:p w:rsidR="00795DF4" w:rsidRPr="007A3FFF" w:rsidRDefault="00C542EA" w:rsidP="002C758C">
      <w:pPr>
        <w:pStyle w:val="Bezodstpw"/>
        <w:rPr>
          <w:lang w:val="pl-PL"/>
        </w:rPr>
      </w:pPr>
      <w:r w:rsidRPr="00C542EA">
        <w:rPr>
          <w:lang w:val="pl-PL"/>
        </w:rPr>
        <w:t>Decyzja taka ma określać, przed rozpoczęciem roku obrotowego i przez okres jego trwania, zasady regulujące uczestnictwo członków w postępowaniach; może zostać zmieniona tylko wtedy, jeśli stanie się to konieczne z powodu nadmiernego lub niewystarczającego obciążenia pracą, przeniesienia lub przedłużającej się nieobecności poszczególnych członków.</w:t>
      </w:r>
    </w:p>
    <w:p w:rsidR="00795DF4" w:rsidRPr="007A3FFF" w:rsidRDefault="00795DF4" w:rsidP="002C758C">
      <w:pPr>
        <w:pStyle w:val="Bezodstpw"/>
        <w:rPr>
          <w:lang w:val="pl-PL"/>
        </w:rPr>
      </w:pPr>
    </w:p>
    <w:p w:rsidR="00795DF4" w:rsidRPr="007A3FFF" w:rsidRDefault="00C542EA" w:rsidP="008238E2">
      <w:pPr>
        <w:pStyle w:val="Bezodstpw"/>
        <w:rPr>
          <w:lang w:val="pl-PL"/>
        </w:rPr>
      </w:pPr>
      <w:r w:rsidRPr="001855C5">
        <w:rPr>
          <w:lang w:val="pl-PL"/>
        </w:rPr>
        <w:t xml:space="preserve">Postępowanie może być przydzielone przez organ orzekający jednemu z jego </w:t>
      </w:r>
      <w:r w:rsidR="001855C5" w:rsidRPr="001855C5">
        <w:rPr>
          <w:lang w:val="pl-PL"/>
        </w:rPr>
        <w:t>członków do decyzji jako sędzia obradujący samodzielnie.</w:t>
      </w:r>
    </w:p>
    <w:sectPr w:rsidR="00795DF4" w:rsidRPr="007A3FFF" w:rsidSect="00B80FE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3B53"/>
    <w:multiLevelType w:val="hybridMultilevel"/>
    <w:tmpl w:val="3156F54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7F4D74"/>
    <w:multiLevelType w:val="hybridMultilevel"/>
    <w:tmpl w:val="29B2E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21372"/>
    <w:multiLevelType w:val="hybridMultilevel"/>
    <w:tmpl w:val="68EC82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085"/>
    <w:rsid w:val="00041580"/>
    <w:rsid w:val="0013476F"/>
    <w:rsid w:val="00136969"/>
    <w:rsid w:val="001855C5"/>
    <w:rsid w:val="002B0865"/>
    <w:rsid w:val="002C758C"/>
    <w:rsid w:val="00330F38"/>
    <w:rsid w:val="00344D58"/>
    <w:rsid w:val="003506F6"/>
    <w:rsid w:val="00355CED"/>
    <w:rsid w:val="0038151B"/>
    <w:rsid w:val="0043392C"/>
    <w:rsid w:val="00452D4B"/>
    <w:rsid w:val="00604CD8"/>
    <w:rsid w:val="006313C6"/>
    <w:rsid w:val="00660843"/>
    <w:rsid w:val="00704FA5"/>
    <w:rsid w:val="00795DF4"/>
    <w:rsid w:val="007A3FFF"/>
    <w:rsid w:val="008238E2"/>
    <w:rsid w:val="008B7E64"/>
    <w:rsid w:val="008C0D17"/>
    <w:rsid w:val="008D4085"/>
    <w:rsid w:val="009350EE"/>
    <w:rsid w:val="009B6372"/>
    <w:rsid w:val="00AB5A73"/>
    <w:rsid w:val="00B761C1"/>
    <w:rsid w:val="00B80FE9"/>
    <w:rsid w:val="00C015F9"/>
    <w:rsid w:val="00C0493B"/>
    <w:rsid w:val="00C542EA"/>
    <w:rsid w:val="00D551D2"/>
    <w:rsid w:val="00D73150"/>
    <w:rsid w:val="00E54EF6"/>
    <w:rsid w:val="00F9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B761C1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Biuro Tłumaczeń VIVALANG | www.vivalang.pl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Biuro Tłumaczeń VIVALANG | www.vivalang.pl</dc:creator>
  <cp:lastModifiedBy>PM3</cp:lastModifiedBy>
  <cp:revision>4</cp:revision>
  <dcterms:created xsi:type="dcterms:W3CDTF">2013-04-08T07:07:00Z</dcterms:created>
  <dcterms:modified xsi:type="dcterms:W3CDTF">2013-04-08T07:49:00Z</dcterms:modified>
</cp:coreProperties>
</file>