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B0" w:rsidRPr="006E2DB0" w:rsidRDefault="006E2DB0" w:rsidP="006E2DB0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OAP-II.420.9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DB0">
        <w:rPr>
          <w:rFonts w:ascii="Times New Roman" w:eastAsia="Calibri" w:hAnsi="Times New Roman" w:cs="Times New Roman"/>
          <w:sz w:val="24"/>
          <w:szCs w:val="24"/>
        </w:rPr>
        <w:tab/>
      </w:r>
      <w:r w:rsidRPr="006E2DB0">
        <w:rPr>
          <w:rFonts w:ascii="Times New Roman" w:eastAsia="Calibri" w:hAnsi="Times New Roman" w:cs="Times New Roman"/>
          <w:sz w:val="24"/>
          <w:szCs w:val="24"/>
        </w:rPr>
        <w:tab/>
      </w:r>
      <w:r w:rsidRPr="006E2DB0">
        <w:rPr>
          <w:rFonts w:ascii="Times New Roman" w:eastAsia="Calibri" w:hAnsi="Times New Roman" w:cs="Times New Roman"/>
          <w:sz w:val="24"/>
          <w:szCs w:val="24"/>
        </w:rPr>
        <w:tab/>
      </w:r>
      <w:r w:rsidRPr="006E2DB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Kraków, dnia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30450">
        <w:rPr>
          <w:rFonts w:ascii="Times New Roman" w:eastAsia="Calibri" w:hAnsi="Times New Roman" w:cs="Times New Roman"/>
          <w:sz w:val="24"/>
          <w:szCs w:val="24"/>
        </w:rPr>
        <w:t>3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marca 2018 r.</w:t>
      </w:r>
    </w:p>
    <w:p w:rsidR="006E2DB0" w:rsidRPr="006E2DB0" w:rsidRDefault="006E2DB0" w:rsidP="006E2DB0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2DB0" w:rsidRPr="006E2DB0" w:rsidRDefault="006E2DB0" w:rsidP="006E2DB0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6E2DB0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6E2DB0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6E2DB0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6E2DB0" w:rsidRPr="006E2DB0" w:rsidRDefault="006E2DB0" w:rsidP="006E2D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2DB0" w:rsidRPr="006E2DB0" w:rsidRDefault="006E2DB0" w:rsidP="006E2D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DB0">
        <w:rPr>
          <w:rFonts w:ascii="Times New Roman" w:eastAsia="Calibri" w:hAnsi="Times New Roman" w:cs="Times New Roman"/>
          <w:b/>
          <w:i/>
          <w:sz w:val="24"/>
          <w:szCs w:val="24"/>
        </w:rPr>
        <w:t>Do</w:t>
      </w:r>
      <w:r w:rsidR="0032684C">
        <w:rPr>
          <w:rFonts w:ascii="Times New Roman" w:eastAsia="Calibri" w:hAnsi="Times New Roman" w:cs="Times New Roman"/>
          <w:b/>
          <w:i/>
          <w:sz w:val="24"/>
          <w:szCs w:val="24"/>
        </w:rPr>
        <w:t>tyczy:</w:t>
      </w:r>
      <w:r w:rsidRPr="006E2D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praktyk IX rocznika aplikacji prokuratorskiej po II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6E2D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zjeździe</w:t>
      </w:r>
    </w:p>
    <w:p w:rsidR="006E2DB0" w:rsidRPr="006E2DB0" w:rsidRDefault="006E2DB0" w:rsidP="006E2D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2DB0" w:rsidRPr="006E2DB0" w:rsidRDefault="006E2DB0" w:rsidP="006E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6E2DB0">
        <w:rPr>
          <w:rFonts w:ascii="Times New Roman" w:eastAsia="Calibri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odbywanych od </w:t>
      </w:r>
      <w:r>
        <w:rPr>
          <w:rFonts w:ascii="Times New Roman" w:eastAsia="Calibri" w:hAnsi="Times New Roman" w:cs="Times New Roman"/>
          <w:sz w:val="24"/>
          <w:szCs w:val="24"/>
        </w:rPr>
        <w:t>14 maja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8 czerwca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2018 roku w prokuraturach rejonowych. </w:t>
      </w:r>
    </w:p>
    <w:p w:rsidR="006E2DB0" w:rsidRPr="006E2DB0" w:rsidRDefault="006E2DB0" w:rsidP="006E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6E2DB0" w:rsidRPr="006E2DB0" w:rsidRDefault="006E2DB0" w:rsidP="006E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DB0">
        <w:rPr>
          <w:rFonts w:ascii="Times New Roman" w:eastAsia="Calibri" w:hAnsi="Times New Roman" w:cs="Times New Roman"/>
          <w:sz w:val="24"/>
          <w:szCs w:val="24"/>
        </w:rPr>
        <w:t>Przedmiotem II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trwającego w dniach od </w:t>
      </w:r>
      <w:r>
        <w:rPr>
          <w:rFonts w:ascii="Times New Roman" w:eastAsia="Calibri" w:hAnsi="Times New Roman" w:cs="Times New Roman"/>
          <w:sz w:val="24"/>
          <w:szCs w:val="24"/>
        </w:rPr>
        <w:t>7 do 11 maja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2018 r. są:</w:t>
      </w:r>
    </w:p>
    <w:p w:rsidR="006E2DB0" w:rsidRPr="006E2DB0" w:rsidRDefault="006E2DB0" w:rsidP="006E2D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Prawo Unii Europejskiej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źródła prawa i instytucje UE, Trybunał Sprawiedliwości UE a sądy krajowe (identyfikowanie tzw. „sprawy unijnej”, pytania prejudycjalne), ochrona podstawowych praw i wolności, europejskie prawo karne.</w:t>
      </w:r>
    </w:p>
    <w:p w:rsidR="006E2DB0" w:rsidRPr="006E2DB0" w:rsidRDefault="006E2DB0" w:rsidP="006E2D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DB0">
        <w:rPr>
          <w:rFonts w:ascii="Times New Roman" w:eastAsia="Calibri" w:hAnsi="Times New Roman" w:cs="Times New Roman"/>
          <w:sz w:val="24"/>
          <w:szCs w:val="24"/>
          <w:u w:val="single"/>
        </w:rPr>
        <w:t>Prawo karne materialne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przedmiot ochrony prawnokarnej, strona przedmiotowa przestępstwa</w:t>
      </w:r>
      <w:r w:rsidRPr="006E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(w szczególności z uwzględnieniem odpowiedzialności za przestępstwa skutkowe z zaniechania</w:t>
      </w:r>
      <w:r w:rsidR="003B3171">
        <w:rPr>
          <w:rFonts w:ascii="Times New Roman" w:eastAsia="Calibri" w:hAnsi="Times New Roman" w:cs="Times New Roman"/>
          <w:sz w:val="24"/>
          <w:szCs w:val="24"/>
        </w:rPr>
        <w:t>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strona podmiotowa przestępstwa</w:t>
      </w:r>
      <w:r w:rsidR="003B317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podmiot przestępstwa</w:t>
      </w:r>
      <w:r w:rsidR="003B31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DB0" w:rsidRDefault="003B3171" w:rsidP="003509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EF">
        <w:rPr>
          <w:rFonts w:ascii="Times New Roman" w:eastAsia="Calibri" w:hAnsi="Times New Roman" w:cs="Times New Roman"/>
          <w:sz w:val="24"/>
          <w:szCs w:val="24"/>
          <w:u w:val="single"/>
        </w:rPr>
        <w:t>Prawo karne procesowe</w:t>
      </w:r>
      <w:r w:rsidRPr="00200AEF">
        <w:rPr>
          <w:rFonts w:ascii="Times New Roman" w:eastAsia="Calibri" w:hAnsi="Times New Roman" w:cs="Times New Roman"/>
          <w:sz w:val="24"/>
          <w:szCs w:val="24"/>
        </w:rPr>
        <w:t>:</w:t>
      </w:r>
      <w:r w:rsidR="0032684C">
        <w:rPr>
          <w:rFonts w:ascii="Times New Roman" w:eastAsia="Calibri" w:hAnsi="Times New Roman" w:cs="Times New Roman"/>
          <w:sz w:val="24"/>
          <w:szCs w:val="24"/>
        </w:rPr>
        <w:t xml:space="preserve"> formy postępowania przygotowawczego: śledztwo, dochodzenia;</w:t>
      </w:r>
      <w:r w:rsidRPr="00200AEF">
        <w:rPr>
          <w:rFonts w:ascii="Times New Roman" w:eastAsia="Calibri" w:hAnsi="Times New Roman" w:cs="Times New Roman"/>
          <w:sz w:val="24"/>
          <w:szCs w:val="24"/>
        </w:rPr>
        <w:t xml:space="preserve"> czynności wykonywane osobiście przez prokuratora </w:t>
      </w:r>
      <w:r w:rsidRPr="00200AEF">
        <w:rPr>
          <w:rFonts w:ascii="Times New Roman" w:eastAsia="Calibri" w:hAnsi="Times New Roman" w:cs="Times New Roman"/>
          <w:sz w:val="24"/>
          <w:szCs w:val="24"/>
        </w:rPr>
        <w:br/>
        <w:t xml:space="preserve">w śledztwie (z pominięciem problematyki powołania biegłego i oględzin – por. zjazd VIII), w tym przesłuchanie podejrzanego i świadka w aspekcie procesowym </w:t>
      </w:r>
      <w:r w:rsidR="0088470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200AEF">
        <w:rPr>
          <w:rFonts w:ascii="Times New Roman" w:eastAsia="Calibri" w:hAnsi="Times New Roman" w:cs="Times New Roman"/>
          <w:sz w:val="24"/>
          <w:szCs w:val="24"/>
        </w:rPr>
        <w:t xml:space="preserve">(z pominięciem problematyki świadka anonimowego i koronnego – por. zjazd XII); </w:t>
      </w:r>
      <w:r w:rsidR="00200AEF">
        <w:rPr>
          <w:rFonts w:ascii="Times New Roman" w:eastAsia="Calibri" w:hAnsi="Times New Roman" w:cs="Times New Roman"/>
          <w:sz w:val="24"/>
          <w:szCs w:val="24"/>
        </w:rPr>
        <w:t xml:space="preserve">najważniejsze czynności i decyzje prokuratora w trakcie śledztwa; czynności zastrzeżone dla prokuratora oraz czynności powierzone innym organom – w całości lub w określonym zakresie; nadzór prokuratora nad dochodzeniem; ukierunkowanie biegu postępowania przygotowawczego – opracowanie wytycznych na piśmie, kierowanych przez prokuratora do właściwego organu po wszczęciu postępowania; szczególne formy </w:t>
      </w:r>
      <w:r w:rsidR="0032684C">
        <w:rPr>
          <w:rFonts w:ascii="Times New Roman" w:eastAsia="Calibri" w:hAnsi="Times New Roman" w:cs="Times New Roman"/>
          <w:sz w:val="24"/>
          <w:szCs w:val="24"/>
        </w:rPr>
        <w:t>postępowania: postę</w:t>
      </w:r>
      <w:r w:rsidR="00200AEF">
        <w:rPr>
          <w:rFonts w:ascii="Times New Roman" w:eastAsia="Calibri" w:hAnsi="Times New Roman" w:cs="Times New Roman"/>
          <w:sz w:val="24"/>
          <w:szCs w:val="24"/>
        </w:rPr>
        <w:t>powanie zakończone wpisaniem</w:t>
      </w:r>
      <w:r w:rsidR="0088470C">
        <w:rPr>
          <w:rFonts w:ascii="Times New Roman" w:eastAsia="Calibri" w:hAnsi="Times New Roman" w:cs="Times New Roman"/>
          <w:sz w:val="24"/>
          <w:szCs w:val="24"/>
        </w:rPr>
        <w:t xml:space="preserve"> sprawy do rejestru przestępstw oraz</w:t>
      </w:r>
      <w:r w:rsidR="00200AEF">
        <w:rPr>
          <w:rFonts w:ascii="Times New Roman" w:eastAsia="Calibri" w:hAnsi="Times New Roman" w:cs="Times New Roman"/>
          <w:sz w:val="24"/>
          <w:szCs w:val="24"/>
        </w:rPr>
        <w:t xml:space="preserve"> postępowanie w trybie art. 308 k</w:t>
      </w:r>
      <w:r w:rsidR="0032684C">
        <w:rPr>
          <w:rFonts w:ascii="Times New Roman" w:eastAsia="Calibri" w:hAnsi="Times New Roman" w:cs="Times New Roman"/>
          <w:sz w:val="24"/>
          <w:szCs w:val="24"/>
        </w:rPr>
        <w:t>.</w:t>
      </w:r>
      <w:r w:rsidR="00200AEF">
        <w:rPr>
          <w:rFonts w:ascii="Times New Roman" w:eastAsia="Calibri" w:hAnsi="Times New Roman" w:cs="Times New Roman"/>
          <w:sz w:val="24"/>
          <w:szCs w:val="24"/>
        </w:rPr>
        <w:t>p</w:t>
      </w:r>
      <w:r w:rsidR="0032684C">
        <w:rPr>
          <w:rFonts w:ascii="Times New Roman" w:eastAsia="Calibri" w:hAnsi="Times New Roman" w:cs="Times New Roman"/>
          <w:sz w:val="24"/>
          <w:szCs w:val="24"/>
        </w:rPr>
        <w:t>.</w:t>
      </w:r>
      <w:r w:rsidR="00200AEF">
        <w:rPr>
          <w:rFonts w:ascii="Times New Roman" w:eastAsia="Calibri" w:hAnsi="Times New Roman" w:cs="Times New Roman"/>
          <w:sz w:val="24"/>
          <w:szCs w:val="24"/>
        </w:rPr>
        <w:t>k</w:t>
      </w:r>
      <w:r w:rsidR="003268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AEF" w:rsidRDefault="00200AEF" w:rsidP="00200A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AEF" w:rsidRDefault="00200AEF" w:rsidP="00200A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84C" w:rsidRDefault="00200AEF" w:rsidP="00200AEF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Patroni praktyk winni zatem zadbać, aby aplikanci w pierwszej kolejności mieli możliwość zapoznania się z praktycznymi aspektami pracy prokuratora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objętym tematyką zjazdu. </w:t>
      </w:r>
    </w:p>
    <w:p w:rsidR="00B5279A" w:rsidRDefault="00B5279A" w:rsidP="00200AEF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AEF" w:rsidRPr="003B65C1" w:rsidRDefault="00200AEF" w:rsidP="00200AEF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Pr="003B6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praktyk aplikanci powinni zapoznać się:</w:t>
      </w:r>
    </w:p>
    <w:p w:rsidR="00200AEF" w:rsidRDefault="00200AEF" w:rsidP="00200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>aktami spraw prowadzonych</w:t>
      </w:r>
      <w:r w:rsidR="00F067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 formie śledztwa, jak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dochodzenia oraz wy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>tycznymi ukierunkowującymi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powanie w różnych kategoriach spraw;</w:t>
      </w:r>
    </w:p>
    <w:p w:rsidR="00200AEF" w:rsidRDefault="00200AEF" w:rsidP="00200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procesowymi skutkami, jakie w konkretnych sprawach spowodowało zaniechanie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czasie właściwego ukierunkowania postępowania przez prokuratora;</w:t>
      </w:r>
    </w:p>
    <w:p w:rsidR="00200AEF" w:rsidRDefault="00200AEF" w:rsidP="003509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metodyką pracy prokuratora – patrona praktyk, a w szczególności z węzłowymi czynnościami wykonywanymi osobiście przez prokuratora w śledztwie polegającymi na przesłuchaniu podejrzanego i świadka, innymi czynnościami własnymi zastrzeżonymi dla prokuratora oraz powierzonymi do przeprowadzenia w całości lub w określonym zakresie innym organom </w:t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sporządzaną dokumentacją związaną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przesłuchaniem podejrzanego/świadka </w:t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protokołu,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 oraz stosown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 pouczeniami</w:t>
      </w:r>
      <w:r w:rsidRPr="00E73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uprawnieniach i obowiązkach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podejrzanego/świadka, zarządzeniem o powierzeniu przeprowadzenia śledztwa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całości </w:t>
      </w:r>
      <w:r w:rsidR="00350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określonym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czynności wykonywanych o</w:t>
      </w:r>
      <w:r w:rsidR="00350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sobiście przez prokuratora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o powierzeniu </w:t>
      </w:r>
      <w:r w:rsidR="00350968" w:rsidRPr="0035096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poszczególnych czynności śledztwa</w:t>
      </w:r>
      <w:r w:rsidR="0035096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00AEF" w:rsidRDefault="0032684C" w:rsidP="00200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metodyką</w:t>
      </w:r>
      <w:r w:rsidR="00200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tzw. spraw rejestrowych, zakończonych wpisaniem do rejestru przestępstw oraz prowadzonych w trybie art. 308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A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AE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A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00AEF" w:rsidRDefault="00200AEF" w:rsidP="00200A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AEF" w:rsidRPr="003B65C1" w:rsidRDefault="00200AEF" w:rsidP="00200A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AEF" w:rsidRPr="003B65C1" w:rsidRDefault="00200AEF" w:rsidP="00200A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Aplikanci powinni także nabyć umiejętności związane:</w:t>
      </w:r>
    </w:p>
    <w:p w:rsidR="00200AEF" w:rsidRPr="003B65C1" w:rsidRDefault="00200AEF" w:rsidP="00200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zasadami kwalifikowania zawiadomień wpływających do prokuratury i nadawania im biegu, w tym udzielania wytycznych (w szczególności związanych z koniecznością weryfikacji informacji w ramach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po wszczęciu śledztwa/dochodzenia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00AEF" w:rsidRPr="003B65C1" w:rsidRDefault="00200AEF" w:rsidP="00200A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z oceną przesłanek faktycznych i prawnych związanych z wszczęciem postępowania przygotowawczego i nadaniem biegu sprawie;</w:t>
      </w:r>
    </w:p>
    <w:p w:rsidR="00200AEF" w:rsidRDefault="00200AEF" w:rsidP="00D80B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o wszczęciu postępowania przygotowawczego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(dochodzenia/śledztwa)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zarządzeń o powierzeniu innym organom przeprowadzenia </w:t>
      </w:r>
      <w:r w:rsid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śledztwa </w:t>
      </w:r>
      <w:r w:rsidR="00D80BE1" w:rsidRP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lub w określonym zakresie albo dokonania po</w:t>
      </w:r>
      <w:r w:rsid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czynności śledztwa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to decyzje powinny zawierać uzasadnienie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00AEF" w:rsidRPr="003B65C1" w:rsidRDefault="00200AEF" w:rsidP="00200A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 wytycznych co do dalszego toku prowadzenia dochodzenia lub powierzonego śledztwa</w:t>
      </w:r>
      <w:r w:rsidR="00965A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2DB0" w:rsidRPr="006E2DB0" w:rsidRDefault="006E2DB0" w:rsidP="006E2D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587" w:rsidRPr="003B65C1" w:rsidRDefault="000A7587" w:rsidP="000A75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Szczególnie istotne jest, aby w ramach odbywanej praktyki aplikanci mieli możliwość aktywnego zapoznania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przebiegiem postępowań przygotowawczych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, ze szczególnym zwróceniem uwagi na czynności podejmowane w czasie ich trwania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przez prokuratora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terminy ich podejmowania. Ważnym jest, aby aplikanci mieli możliwość uczestniczenia w czynnościach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przesłuchaniem podejrzanych/świadków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</w:t>
      </w:r>
      <w:r w:rsid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>em decyzji co do wszczęcia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przygotowawczego, powierzaniem </w:t>
      </w:r>
      <w:r w:rsidR="00D80BE1" w:rsidRP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śledztwa w całości lub w określonym zakresie albo </w:t>
      </w:r>
      <w:r w:rsidR="008F4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powierzaniem </w:t>
      </w:r>
      <w:r w:rsidR="00D80BE1" w:rsidRPr="00D8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poszczególnych czynności śledztwa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orządzaniem projektów wytycznych co do dalszego toku prowadzenia dochodzenia lub powierzonego śledztwa</w:t>
      </w:r>
      <w:r w:rsidRPr="003B65C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0A7587" w:rsidRDefault="000A7587" w:rsidP="000A75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decyzji, jest zwracanie uwagi nie tylko na 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merytoryczną trafność i formalną poprawność samego rozstrzygnięcia, ale i rodzaj użytej argumentacji, logikę i poprawność językową.</w:t>
      </w:r>
      <w:r w:rsidRPr="003B65C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przedmiotowej praktyki jest bowiem również wykształcenie u aplikantów aplikacji prokuratorskiej umiejętności właściwej oceny prawnej decyzji podejmowanych w toku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przygotowawczego</w:t>
      </w:r>
      <w:r w:rsidRPr="003B65C1">
        <w:rPr>
          <w:rFonts w:ascii="Times New Roman" w:eastAsia="Times New Roman" w:hAnsi="Times New Roman" w:cs="Times New Roman"/>
          <w:sz w:val="24"/>
          <w:szCs w:val="24"/>
          <w:lang w:eastAsia="pl-PL"/>
        </w:rPr>
        <w:t>, obrony własnego stanowiska w sprawie oraz zastosowania prawidłowej argumentacji.</w:t>
      </w:r>
    </w:p>
    <w:p w:rsidR="0032684C" w:rsidRPr="003B65C1" w:rsidRDefault="0032684C" w:rsidP="000A75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587" w:rsidRPr="003B65C1" w:rsidRDefault="000A7587" w:rsidP="000A7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C1"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6E2DB0" w:rsidRPr="006E2DB0" w:rsidRDefault="006E2DB0" w:rsidP="006E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686" w:rsidRDefault="006E2DB0" w:rsidP="006E2D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II i III zjeździe (na początku IV zjazdu) będzie sporządzenie – stosownie do dokonanej przez aplikanta oceny przedłożonych mu materiałów – projektu postanowienia o wszczęciu postępowania przygotowawczego</w:t>
      </w:r>
      <w:r w:rsidR="006A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(dochodzenia/śledztwa)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zarządzenia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567E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powierzeniu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</w:t>
      </w:r>
      <w:r w:rsidR="00675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śledztwa 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wytycznych co do jego dalszego toku albo projektu post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anowienia 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odmowie wszczęcia dochodzenia lub śledztwa, które to </w:t>
      </w:r>
      <w:r w:rsidR="0032684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32684C"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>ojekty</w:t>
      </w: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procesowych powinny zawierać uzasadnienie. </w:t>
      </w:r>
    </w:p>
    <w:p w:rsidR="006E2DB0" w:rsidRPr="006E2DB0" w:rsidRDefault="006E2DB0" w:rsidP="006E2D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DB0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6E2DB0" w:rsidRDefault="006E2DB0" w:rsidP="006E2D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01D" w:rsidRDefault="002C001D" w:rsidP="006E2D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01D" w:rsidRPr="006E2DB0" w:rsidRDefault="002C001D" w:rsidP="002C001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DB0" w:rsidRPr="002C001D" w:rsidRDefault="006E2DB0" w:rsidP="002C001D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</w:t>
      </w:r>
      <w:r w:rsidRPr="002C001D">
        <w:rPr>
          <w:rFonts w:ascii="Garamond" w:eastAsia="Calibri" w:hAnsi="Garamond" w:cs="Times New Roman"/>
          <w:b/>
          <w:sz w:val="24"/>
          <w:szCs w:val="24"/>
        </w:rPr>
        <w:t>Kierownik</w:t>
      </w: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</w:t>
      </w:r>
      <w:r w:rsidRPr="002C001D">
        <w:rPr>
          <w:rFonts w:ascii="Garamond" w:eastAsia="Calibri" w:hAnsi="Garamond" w:cs="Times New Roman"/>
          <w:b/>
          <w:sz w:val="24"/>
          <w:szCs w:val="24"/>
        </w:rPr>
        <w:t>Działu Dydaktycznego</w:t>
      </w: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</w:t>
      </w:r>
      <w:r w:rsidRPr="002C001D">
        <w:rPr>
          <w:rFonts w:ascii="Garamond" w:eastAsia="Calibri" w:hAnsi="Garamond" w:cs="Times New Roman"/>
          <w:b/>
          <w:sz w:val="24"/>
          <w:szCs w:val="24"/>
        </w:rPr>
        <w:t>w Ośrodku Aplikacji Prokuratorskiej</w:t>
      </w: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</w:t>
      </w:r>
      <w:r w:rsidRPr="002C001D">
        <w:rPr>
          <w:rFonts w:ascii="Garamond" w:eastAsia="Calibri" w:hAnsi="Garamond" w:cs="Times New Roman"/>
          <w:b/>
          <w:sz w:val="24"/>
          <w:szCs w:val="24"/>
        </w:rPr>
        <w:t>Krajowej Szkoły Sądownictwa i Prokuratury</w:t>
      </w: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2C001D" w:rsidRPr="002C001D" w:rsidRDefault="002C001D" w:rsidP="002C001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</w:t>
      </w:r>
      <w:r w:rsidRPr="002C001D">
        <w:rPr>
          <w:rFonts w:ascii="Garamond" w:eastAsia="Calibri" w:hAnsi="Garamond" w:cs="Times New Roman"/>
          <w:b/>
          <w:sz w:val="24"/>
          <w:szCs w:val="24"/>
        </w:rPr>
        <w:t>Beata Padło</w:t>
      </w:r>
    </w:p>
    <w:p w:rsidR="000B4076" w:rsidRPr="002C001D" w:rsidRDefault="002C001D" w:rsidP="002C001D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                                      </w:t>
      </w:r>
      <w:r w:rsidRPr="002C001D">
        <w:rPr>
          <w:rFonts w:ascii="Garamond" w:eastAsia="Calibri" w:hAnsi="Garamond" w:cs="Times New Roman"/>
          <w:sz w:val="24"/>
          <w:szCs w:val="24"/>
        </w:rPr>
        <w:t>Prokurator</w:t>
      </w:r>
    </w:p>
    <w:p w:rsidR="002C001D" w:rsidRPr="002C001D" w:rsidRDefault="002C001D">
      <w:pPr>
        <w:spacing w:after="0" w:line="240" w:lineRule="auto"/>
        <w:jc w:val="center"/>
        <w:rPr>
          <w:rFonts w:ascii="Garamond" w:hAnsi="Garamond"/>
        </w:rPr>
      </w:pPr>
    </w:p>
    <w:sectPr w:rsidR="002C001D" w:rsidRPr="002C001D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6C" w:rsidRDefault="0055496C" w:rsidP="006E2DB0">
      <w:pPr>
        <w:spacing w:after="0" w:line="240" w:lineRule="auto"/>
      </w:pPr>
      <w:r>
        <w:separator/>
      </w:r>
    </w:p>
  </w:endnote>
  <w:endnote w:type="continuationSeparator" w:id="0">
    <w:p w:rsidR="0055496C" w:rsidRDefault="0055496C" w:rsidP="006E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6C" w:rsidRDefault="0055496C" w:rsidP="006E2DB0">
      <w:pPr>
        <w:spacing w:after="0" w:line="240" w:lineRule="auto"/>
      </w:pPr>
      <w:r>
        <w:separator/>
      </w:r>
    </w:p>
  </w:footnote>
  <w:footnote w:type="continuationSeparator" w:id="0">
    <w:p w:rsidR="0055496C" w:rsidRDefault="0055496C" w:rsidP="006E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A323D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2A3F84">
      <w:rPr>
        <w:noProof/>
      </w:rPr>
      <w:t>3</w:t>
    </w:r>
    <w:r>
      <w:fldChar w:fldCharType="end"/>
    </w:r>
  </w:p>
  <w:p w:rsidR="00014C36" w:rsidRDefault="005549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A323DB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1600F2" wp14:editId="0D2F2373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55496C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55496C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A323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A323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55496C">
    <w:pPr>
      <w:pStyle w:val="Nagwek"/>
    </w:pPr>
  </w:p>
  <w:p w:rsidR="00162921" w:rsidRDefault="005549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B0"/>
    <w:rsid w:val="000039F1"/>
    <w:rsid w:val="00031686"/>
    <w:rsid w:val="000A7587"/>
    <w:rsid w:val="000B4076"/>
    <w:rsid w:val="00200AEF"/>
    <w:rsid w:val="00253E3F"/>
    <w:rsid w:val="002A3F84"/>
    <w:rsid w:val="002C001D"/>
    <w:rsid w:val="0032684C"/>
    <w:rsid w:val="00350968"/>
    <w:rsid w:val="003B3171"/>
    <w:rsid w:val="003E4661"/>
    <w:rsid w:val="004D3C77"/>
    <w:rsid w:val="0055496C"/>
    <w:rsid w:val="0067567E"/>
    <w:rsid w:val="006A4FE9"/>
    <w:rsid w:val="006E05BC"/>
    <w:rsid w:val="006E2DB0"/>
    <w:rsid w:val="0081073C"/>
    <w:rsid w:val="0088470C"/>
    <w:rsid w:val="008F422B"/>
    <w:rsid w:val="00965AAC"/>
    <w:rsid w:val="0099713C"/>
    <w:rsid w:val="00A323DB"/>
    <w:rsid w:val="00B5279A"/>
    <w:rsid w:val="00BA632A"/>
    <w:rsid w:val="00C8717F"/>
    <w:rsid w:val="00D5152C"/>
    <w:rsid w:val="00D80BE1"/>
    <w:rsid w:val="00E30450"/>
    <w:rsid w:val="00E726B7"/>
    <w:rsid w:val="00EE7808"/>
    <w:rsid w:val="00F06749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E2DB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E2DB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2018-03-26T12:24:00Z</dcterms:created>
  <dcterms:modified xsi:type="dcterms:W3CDTF">2018-03-26T12:24:00Z</dcterms:modified>
</cp:coreProperties>
</file>