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161" w:rsidRPr="00913DB2" w:rsidRDefault="009C1161" w:rsidP="009C1161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bookmarkStart w:id="0" w:name="_GoBack"/>
      <w:bookmarkEnd w:id="0"/>
      <w:r w:rsidRPr="00913DB2">
        <w:rPr>
          <w:rFonts w:cstheme="minorHAnsi"/>
          <w:i/>
          <w:sz w:val="24"/>
          <w:szCs w:val="24"/>
        </w:rPr>
        <w:t>Zalecenia w sprawie praktyk odbywanych przez aplikantów XV rocznika aplikacji sędziowskiej po 23 zjeździe XV AS</w:t>
      </w:r>
    </w:p>
    <w:p w:rsidR="009C1161" w:rsidRDefault="009C1161" w:rsidP="009C1161">
      <w:pPr>
        <w:spacing w:after="0" w:line="360" w:lineRule="auto"/>
        <w:ind w:firstLine="4961"/>
        <w:rPr>
          <w:rFonts w:cstheme="minorHAnsi"/>
          <w:b/>
          <w:sz w:val="24"/>
          <w:szCs w:val="24"/>
        </w:rPr>
      </w:pPr>
    </w:p>
    <w:p w:rsidR="009C1161" w:rsidRPr="0084739C" w:rsidRDefault="009C1161" w:rsidP="009C1161">
      <w:pPr>
        <w:spacing w:after="0" w:line="360" w:lineRule="auto"/>
        <w:ind w:firstLine="4961"/>
        <w:rPr>
          <w:rFonts w:cstheme="minorHAnsi"/>
          <w:b/>
          <w:sz w:val="24"/>
          <w:szCs w:val="24"/>
        </w:rPr>
      </w:pPr>
      <w:r w:rsidRPr="0084739C">
        <w:rPr>
          <w:rFonts w:cstheme="minorHAnsi"/>
          <w:b/>
          <w:sz w:val="24"/>
          <w:szCs w:val="24"/>
        </w:rPr>
        <w:t>Do</w:t>
      </w:r>
    </w:p>
    <w:p w:rsidR="009C1161" w:rsidRPr="0084739C" w:rsidRDefault="009C1161" w:rsidP="009C1161">
      <w:pPr>
        <w:spacing w:after="0" w:line="360" w:lineRule="auto"/>
        <w:ind w:firstLine="4961"/>
        <w:rPr>
          <w:rFonts w:cstheme="minorHAnsi"/>
          <w:b/>
          <w:sz w:val="24"/>
          <w:szCs w:val="24"/>
        </w:rPr>
      </w:pPr>
      <w:r w:rsidRPr="0084739C">
        <w:rPr>
          <w:rFonts w:cstheme="minorHAnsi"/>
          <w:b/>
          <w:sz w:val="24"/>
          <w:szCs w:val="24"/>
        </w:rPr>
        <w:t>Patronów praktyk</w:t>
      </w:r>
    </w:p>
    <w:p w:rsidR="009C1161" w:rsidRPr="0084739C" w:rsidRDefault="009C1161" w:rsidP="009C1161">
      <w:pPr>
        <w:spacing w:after="0" w:line="360" w:lineRule="auto"/>
        <w:ind w:firstLine="4961"/>
        <w:rPr>
          <w:rFonts w:cstheme="minorHAnsi"/>
          <w:b/>
          <w:sz w:val="24"/>
          <w:szCs w:val="24"/>
        </w:rPr>
      </w:pPr>
      <w:r w:rsidRPr="0084739C">
        <w:rPr>
          <w:rFonts w:cstheme="minorHAnsi"/>
          <w:b/>
          <w:sz w:val="24"/>
          <w:szCs w:val="24"/>
        </w:rPr>
        <w:t>oraz Patronów koordynatorów</w:t>
      </w:r>
    </w:p>
    <w:p w:rsidR="009C1161" w:rsidRPr="0084739C" w:rsidRDefault="009C1161" w:rsidP="009C1161">
      <w:pPr>
        <w:spacing w:after="0" w:line="360" w:lineRule="auto"/>
        <w:ind w:firstLine="4961"/>
        <w:rPr>
          <w:rFonts w:cstheme="minorHAnsi"/>
          <w:b/>
          <w:sz w:val="24"/>
          <w:szCs w:val="24"/>
        </w:rPr>
      </w:pPr>
      <w:r w:rsidRPr="0084739C">
        <w:rPr>
          <w:rFonts w:cstheme="minorHAnsi"/>
          <w:b/>
          <w:sz w:val="24"/>
          <w:szCs w:val="24"/>
        </w:rPr>
        <w:t>aplikantów aplikacji sędziowskiej</w:t>
      </w:r>
    </w:p>
    <w:p w:rsidR="009C1161" w:rsidRPr="00913DB2" w:rsidRDefault="009C1161" w:rsidP="009C116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9C1161" w:rsidRPr="00F66505" w:rsidRDefault="009C1161" w:rsidP="009C1161">
      <w:pPr>
        <w:spacing w:line="360" w:lineRule="auto"/>
        <w:ind w:firstLine="709"/>
        <w:jc w:val="both"/>
        <w:rPr>
          <w:rFonts w:cstheme="minorHAnsi"/>
          <w:sz w:val="24"/>
          <w:szCs w:val="24"/>
        </w:rPr>
      </w:pPr>
      <w:r w:rsidRPr="00F66505">
        <w:rPr>
          <w:sz w:val="24"/>
          <w:szCs w:val="24"/>
        </w:rPr>
        <w:t>Uprzejmie przedstawiam szczegółowy zakres tematyczny, który winien być przedmiotem praktyk aplikantów XV rocznika aplikacji sędziowskiej odbywanych po 2</w:t>
      </w:r>
      <w:r>
        <w:rPr>
          <w:sz w:val="24"/>
          <w:szCs w:val="24"/>
        </w:rPr>
        <w:t>3</w:t>
      </w:r>
      <w:r w:rsidRPr="00F66505">
        <w:rPr>
          <w:sz w:val="24"/>
          <w:szCs w:val="24"/>
        </w:rPr>
        <w:t xml:space="preserve"> zjeździe w </w:t>
      </w:r>
      <w:r w:rsidRPr="00F66505">
        <w:rPr>
          <w:rFonts w:cstheme="minorHAnsi"/>
          <w:sz w:val="24"/>
          <w:szCs w:val="24"/>
        </w:rPr>
        <w:t xml:space="preserve">okresie </w:t>
      </w:r>
      <w:r w:rsidRPr="00F66505">
        <w:rPr>
          <w:rFonts w:cstheme="minorHAnsi"/>
          <w:b/>
          <w:sz w:val="24"/>
          <w:szCs w:val="24"/>
          <w:u w:val="single"/>
        </w:rPr>
        <w:t>2</w:t>
      </w:r>
      <w:r w:rsidR="00350B8E">
        <w:rPr>
          <w:rFonts w:cstheme="minorHAnsi"/>
          <w:b/>
          <w:sz w:val="24"/>
          <w:szCs w:val="24"/>
          <w:u w:val="single"/>
        </w:rPr>
        <w:t>6</w:t>
      </w:r>
      <w:r w:rsidRPr="00F66505">
        <w:rPr>
          <w:rFonts w:cstheme="minorHAnsi"/>
          <w:b/>
          <w:sz w:val="24"/>
          <w:szCs w:val="24"/>
          <w:u w:val="single"/>
        </w:rPr>
        <w:t>.0</w:t>
      </w:r>
      <w:r w:rsidR="00350B8E">
        <w:rPr>
          <w:rFonts w:cstheme="minorHAnsi"/>
          <w:b/>
          <w:sz w:val="24"/>
          <w:szCs w:val="24"/>
          <w:u w:val="single"/>
        </w:rPr>
        <w:t>1</w:t>
      </w:r>
      <w:r w:rsidRPr="00F66505">
        <w:rPr>
          <w:rFonts w:cstheme="minorHAnsi"/>
          <w:b/>
          <w:sz w:val="24"/>
          <w:szCs w:val="24"/>
          <w:u w:val="single"/>
        </w:rPr>
        <w:t>.202</w:t>
      </w:r>
      <w:r w:rsidR="00350B8E">
        <w:rPr>
          <w:rFonts w:cstheme="minorHAnsi"/>
          <w:b/>
          <w:sz w:val="24"/>
          <w:szCs w:val="24"/>
          <w:u w:val="single"/>
        </w:rPr>
        <w:t>6</w:t>
      </w:r>
      <w:r w:rsidRPr="00F66505">
        <w:rPr>
          <w:rFonts w:cstheme="minorHAnsi"/>
          <w:b/>
          <w:sz w:val="24"/>
          <w:szCs w:val="24"/>
          <w:u w:val="single"/>
        </w:rPr>
        <w:t xml:space="preserve"> r. – </w:t>
      </w:r>
      <w:r w:rsidR="00350B8E">
        <w:rPr>
          <w:rFonts w:cstheme="minorHAnsi"/>
          <w:b/>
          <w:sz w:val="24"/>
          <w:szCs w:val="24"/>
          <w:u w:val="single"/>
        </w:rPr>
        <w:t>12</w:t>
      </w:r>
      <w:r w:rsidRPr="00F66505">
        <w:rPr>
          <w:rFonts w:cstheme="minorHAnsi"/>
          <w:b/>
          <w:sz w:val="24"/>
          <w:szCs w:val="24"/>
          <w:u w:val="single"/>
        </w:rPr>
        <w:t>.02.202</w:t>
      </w:r>
      <w:r w:rsidR="00350B8E">
        <w:rPr>
          <w:rFonts w:cstheme="minorHAnsi"/>
          <w:b/>
          <w:sz w:val="24"/>
          <w:szCs w:val="24"/>
          <w:u w:val="single"/>
        </w:rPr>
        <w:t>6</w:t>
      </w:r>
      <w:r w:rsidRPr="00F66505">
        <w:rPr>
          <w:rFonts w:cstheme="minorHAnsi"/>
          <w:b/>
          <w:sz w:val="24"/>
          <w:szCs w:val="24"/>
          <w:u w:val="single"/>
        </w:rPr>
        <w:t xml:space="preserve"> r. </w:t>
      </w:r>
      <w:r w:rsidRPr="00F66505">
        <w:rPr>
          <w:rFonts w:cstheme="minorHAnsi"/>
          <w:b/>
          <w:sz w:val="24"/>
          <w:szCs w:val="24"/>
        </w:rPr>
        <w:t>w wydziale cywilnym, w tym 2 tygodnie w wydziale, w którym rozpatrywane są sprawy w trybie nieprocesowym.</w:t>
      </w:r>
    </w:p>
    <w:p w:rsidR="009C1161" w:rsidRPr="00116CEA" w:rsidRDefault="009C1161" w:rsidP="009C1161">
      <w:pPr>
        <w:spacing w:line="360" w:lineRule="auto"/>
        <w:ind w:firstLine="709"/>
        <w:jc w:val="both"/>
        <w:rPr>
          <w:rFonts w:cstheme="minorHAnsi"/>
          <w:sz w:val="24"/>
          <w:szCs w:val="24"/>
        </w:rPr>
      </w:pPr>
      <w:r w:rsidRPr="00116CEA">
        <w:rPr>
          <w:rFonts w:cstheme="minorHAnsi"/>
          <w:sz w:val="24"/>
          <w:szCs w:val="24"/>
        </w:rPr>
        <w:t xml:space="preserve">Założeniem praktyki, co do zasady, jest zaznajomienie aplikantów z czynnościami i metodyką pracy sędziego oraz doskonalenie umiejętności wykorzystania wiedzy teoretycznej i znajomości orzecznictwa. Praktyka winna utrwalać wiedzę zdobytą podczas bezpośrednio poprzedzających ją zajęć seminaryjnych w ramach zjazdu. </w:t>
      </w:r>
    </w:p>
    <w:p w:rsidR="009C1161" w:rsidRPr="00116CEA" w:rsidRDefault="009C1161" w:rsidP="009C1161">
      <w:pPr>
        <w:spacing w:line="360" w:lineRule="auto"/>
        <w:ind w:firstLine="709"/>
        <w:jc w:val="both"/>
        <w:rPr>
          <w:rFonts w:cstheme="minorHAnsi"/>
          <w:sz w:val="24"/>
          <w:szCs w:val="24"/>
        </w:rPr>
      </w:pPr>
      <w:r w:rsidRPr="00116CEA">
        <w:rPr>
          <w:rFonts w:eastAsia="Times New Roman" w:cstheme="minorHAnsi"/>
          <w:sz w:val="24"/>
          <w:szCs w:val="24"/>
        </w:rPr>
        <w:t xml:space="preserve">Patron praktyki ma obowiązek omówić z aplikantem cel, szczegółowy zakres tematyczny praktyki i jej planowany przebieg oraz zapoznać aplikanta ze swoim stanowiskiem pracy i strukturą organizacyjną jednostki, w której jest zatrudniony. </w:t>
      </w:r>
    </w:p>
    <w:p w:rsidR="009C1161" w:rsidRPr="00116CEA" w:rsidRDefault="009C1161" w:rsidP="009C1161">
      <w:pPr>
        <w:spacing w:line="360" w:lineRule="auto"/>
        <w:ind w:firstLine="709"/>
        <w:jc w:val="both"/>
        <w:rPr>
          <w:rFonts w:eastAsia="Times New Roman" w:cstheme="minorHAnsi"/>
          <w:sz w:val="24"/>
          <w:szCs w:val="24"/>
          <w:u w:val="single"/>
        </w:rPr>
      </w:pPr>
      <w:r w:rsidRPr="00116CEA">
        <w:rPr>
          <w:rFonts w:eastAsia="Times New Roman" w:cstheme="minorHAnsi"/>
          <w:sz w:val="24"/>
          <w:szCs w:val="24"/>
        </w:rPr>
        <w:t xml:space="preserve">Patron praktyki powinien w pierwszej kolejności powierzać aplikantowi wykonanie czynności określonych </w:t>
      </w:r>
      <w:r w:rsidRPr="00116CEA">
        <w:rPr>
          <w:rFonts w:cstheme="minorHAnsi"/>
          <w:noProof/>
          <w:sz w:val="24"/>
          <w:szCs w:val="24"/>
        </w:rPr>
        <w:t xml:space="preserve">w zaleceniach dotyczących przebiegu praktyki po zjeździe (czynności obowiązkowe), </w:t>
      </w:r>
      <w:r w:rsidRPr="00116CEA">
        <w:rPr>
          <w:rFonts w:eastAsia="Times New Roman" w:cstheme="minorHAnsi"/>
          <w:sz w:val="24"/>
          <w:szCs w:val="24"/>
        </w:rPr>
        <w:t xml:space="preserve">udzielać aplikantowi wskazówek i pomocy przy wykonywaniu tych czynności oraz </w:t>
      </w:r>
      <w:r w:rsidRPr="00116CEA">
        <w:rPr>
          <w:rFonts w:eastAsia="Times New Roman" w:cstheme="minorHAnsi"/>
          <w:sz w:val="24"/>
          <w:szCs w:val="24"/>
          <w:u w:val="single"/>
        </w:rPr>
        <w:t xml:space="preserve">kontrolować prawidłowość ich wykonania. </w:t>
      </w:r>
    </w:p>
    <w:p w:rsidR="009C1161" w:rsidRPr="00116CEA" w:rsidRDefault="009C1161" w:rsidP="009C1161">
      <w:pPr>
        <w:spacing w:line="36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116CEA">
        <w:rPr>
          <w:rFonts w:cstheme="minorHAnsi"/>
          <w:b/>
          <w:sz w:val="24"/>
          <w:szCs w:val="24"/>
        </w:rPr>
        <w:t xml:space="preserve">Po wykonaniu czynności przez aplikanta należy szczegółowo omówić z nim rezultaty jego pracy, w tym ewentualne uchybienia. </w:t>
      </w:r>
    </w:p>
    <w:p w:rsidR="009C1161" w:rsidRPr="00116CEA" w:rsidRDefault="009C1161" w:rsidP="009C1161">
      <w:pPr>
        <w:spacing w:line="360" w:lineRule="auto"/>
        <w:ind w:firstLine="709"/>
        <w:jc w:val="both"/>
        <w:rPr>
          <w:rFonts w:cstheme="minorHAnsi"/>
          <w:sz w:val="24"/>
          <w:szCs w:val="24"/>
        </w:rPr>
      </w:pPr>
      <w:r w:rsidRPr="00116CEA">
        <w:rPr>
          <w:rFonts w:cstheme="minorHAnsi"/>
          <w:sz w:val="24"/>
          <w:szCs w:val="24"/>
        </w:rPr>
        <w:t xml:space="preserve">Zaleca się angażowanie aplikanta w czynności, o których mowa w art. 45 § 3 </w:t>
      </w:r>
      <w:r w:rsidRPr="00116CEA">
        <w:rPr>
          <w:rFonts w:cstheme="minorHAnsi"/>
          <w:bCs/>
          <w:sz w:val="24"/>
          <w:szCs w:val="24"/>
        </w:rPr>
        <w:t>ustawy z dnia 27 lipca 2001 r. Prawo o ustroju sądów powszechnych.</w:t>
      </w:r>
    </w:p>
    <w:p w:rsidR="009C1161" w:rsidRDefault="009C1161" w:rsidP="009C1161">
      <w:pPr>
        <w:spacing w:line="360" w:lineRule="auto"/>
        <w:ind w:firstLine="709"/>
        <w:jc w:val="both"/>
        <w:rPr>
          <w:rFonts w:eastAsia="Times New Roman" w:cstheme="minorHAnsi"/>
          <w:sz w:val="24"/>
          <w:szCs w:val="24"/>
        </w:rPr>
      </w:pPr>
      <w:r w:rsidRPr="00116CEA">
        <w:rPr>
          <w:rFonts w:eastAsia="Times New Roman" w:cstheme="minorHAnsi"/>
          <w:sz w:val="24"/>
          <w:szCs w:val="24"/>
        </w:rPr>
        <w:t xml:space="preserve">Uprzejmie proszę o zapoznanie się </w:t>
      </w:r>
      <w:r w:rsidRPr="00116CEA">
        <w:rPr>
          <w:rFonts w:eastAsia="Times New Roman" w:cstheme="minorHAnsi"/>
          <w:b/>
          <w:sz w:val="24"/>
          <w:szCs w:val="24"/>
        </w:rPr>
        <w:t xml:space="preserve">z zarządzeniem Dyrektora Krajowej Szkoły Sądownictwa i Prokuratury Nr 539/2021 z dnia 27 października 2021 r. w sprawie szczegółowych zasad odbywania praktyk przez aplikantów aplikacji sędziowskiej i aplikacji </w:t>
      </w:r>
      <w:r w:rsidRPr="00116CEA">
        <w:rPr>
          <w:rFonts w:eastAsia="Times New Roman" w:cstheme="minorHAnsi"/>
          <w:b/>
          <w:sz w:val="24"/>
          <w:szCs w:val="24"/>
        </w:rPr>
        <w:lastRenderedPageBreak/>
        <w:t>prokuratorskie</w:t>
      </w:r>
      <w:r w:rsidRPr="00116CEA">
        <w:rPr>
          <w:rFonts w:eastAsia="Times New Roman" w:cstheme="minorHAnsi"/>
          <w:sz w:val="24"/>
          <w:szCs w:val="24"/>
        </w:rPr>
        <w:t>j, które znajduje się na stronie internetowej Krajowej Szkoły Sądownictwa i Prokuratury pod adresem</w:t>
      </w:r>
      <w:r w:rsidRPr="00116CEA">
        <w:rPr>
          <w:rFonts w:cstheme="minorHAnsi"/>
          <w:sz w:val="24"/>
          <w:szCs w:val="24"/>
        </w:rPr>
        <w:t xml:space="preserve"> </w:t>
      </w:r>
      <w:hyperlink r:id="rId7" w:history="1">
        <w:r w:rsidRPr="00116CEA">
          <w:rPr>
            <w:rStyle w:val="Hipercze"/>
            <w:rFonts w:eastAsia="Times New Roman" w:cstheme="minorHAnsi"/>
            <w:sz w:val="24"/>
            <w:szCs w:val="24"/>
          </w:rPr>
          <w:t>https://www.kssip.gov.pl/node/7958.</w:t>
        </w:r>
      </w:hyperlink>
      <w:r w:rsidRPr="00116CEA">
        <w:rPr>
          <w:rFonts w:eastAsia="Times New Roman" w:cstheme="minorHAnsi"/>
          <w:sz w:val="24"/>
          <w:szCs w:val="24"/>
        </w:rPr>
        <w:tab/>
      </w:r>
    </w:p>
    <w:p w:rsidR="009C1161" w:rsidRPr="00913DB2" w:rsidRDefault="009C1161" w:rsidP="009C1161">
      <w:pPr>
        <w:pStyle w:val="Default"/>
        <w:spacing w:after="160" w:line="360" w:lineRule="auto"/>
        <w:ind w:firstLine="709"/>
        <w:jc w:val="both"/>
        <w:rPr>
          <w:rFonts w:asciiTheme="minorHAnsi" w:hAnsiTheme="minorHAnsi" w:cstheme="minorHAnsi"/>
          <w:b/>
          <w:color w:val="auto"/>
        </w:rPr>
      </w:pPr>
      <w:r w:rsidRPr="00913DB2">
        <w:rPr>
          <w:rFonts w:asciiTheme="minorHAnsi" w:hAnsiTheme="minorHAnsi" w:cstheme="minorHAnsi"/>
          <w:b/>
        </w:rPr>
        <w:t>Przedmiotem 2</w:t>
      </w:r>
      <w:r>
        <w:rPr>
          <w:rFonts w:asciiTheme="minorHAnsi" w:hAnsiTheme="minorHAnsi" w:cstheme="minorHAnsi"/>
          <w:b/>
        </w:rPr>
        <w:t>3</w:t>
      </w:r>
      <w:r w:rsidRPr="00913DB2">
        <w:rPr>
          <w:rFonts w:asciiTheme="minorHAnsi" w:hAnsiTheme="minorHAnsi" w:cstheme="minorHAnsi"/>
          <w:b/>
        </w:rPr>
        <w:t xml:space="preserve"> zjazdu jest </w:t>
      </w:r>
      <w:r w:rsidRPr="00913DB2">
        <w:rPr>
          <w:rFonts w:asciiTheme="minorHAnsi" w:hAnsiTheme="minorHAnsi" w:cstheme="minorHAnsi"/>
          <w:b/>
          <w:bCs/>
          <w:color w:val="auto"/>
        </w:rPr>
        <w:t xml:space="preserve">postępowanie procesowe i nieprocesowe w sprawach osobowych i spadkowych </w:t>
      </w:r>
    </w:p>
    <w:p w:rsidR="009C1161" w:rsidRPr="0084739C" w:rsidRDefault="009C1161" w:rsidP="009C1161">
      <w:pPr>
        <w:spacing w:line="360" w:lineRule="auto"/>
        <w:ind w:firstLine="709"/>
        <w:jc w:val="both"/>
        <w:rPr>
          <w:rFonts w:cstheme="minorHAnsi"/>
          <w:sz w:val="24"/>
          <w:szCs w:val="24"/>
        </w:rPr>
      </w:pPr>
      <w:r w:rsidRPr="00913DB2">
        <w:rPr>
          <w:rFonts w:cstheme="minorHAnsi"/>
          <w:sz w:val="24"/>
          <w:szCs w:val="24"/>
        </w:rPr>
        <w:t xml:space="preserve">W zakresie </w:t>
      </w:r>
      <w:r w:rsidRPr="00913DB2">
        <w:rPr>
          <w:rFonts w:cstheme="minorHAnsi"/>
          <w:b/>
          <w:sz w:val="24"/>
          <w:szCs w:val="24"/>
        </w:rPr>
        <w:t>prawa materialn</w:t>
      </w:r>
      <w:r w:rsidRPr="0084739C">
        <w:rPr>
          <w:rFonts w:cstheme="minorHAnsi"/>
          <w:b/>
          <w:sz w:val="24"/>
          <w:szCs w:val="24"/>
        </w:rPr>
        <w:t>ego</w:t>
      </w:r>
      <w:r w:rsidRPr="0084739C">
        <w:rPr>
          <w:rFonts w:cstheme="minorHAnsi"/>
          <w:sz w:val="24"/>
          <w:szCs w:val="24"/>
        </w:rPr>
        <w:t xml:space="preserve"> należy szczególną uwagę poświęcić zagadnieniom, w zakres których wchodzą: </w:t>
      </w:r>
    </w:p>
    <w:p w:rsidR="009C1161" w:rsidRPr="0084739C" w:rsidRDefault="009C1161" w:rsidP="009C1161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84739C">
        <w:rPr>
          <w:rFonts w:eastAsia="Andale Sans UI" w:cstheme="minorHAnsi"/>
          <w:kern w:val="3"/>
          <w:sz w:val="24"/>
          <w:szCs w:val="24"/>
        </w:rPr>
        <w:t xml:space="preserve">uznanie za zmarłego, w tym w na skutek działań wojennych (art. XXVIII i następne ustawy – Przepisy wprowadzające kodeks cywilny);  </w:t>
      </w:r>
    </w:p>
    <w:p w:rsidR="009C1161" w:rsidRPr="0084739C" w:rsidRDefault="009C1161" w:rsidP="009C1161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84739C">
        <w:rPr>
          <w:rFonts w:eastAsia="Andale Sans UI" w:cstheme="minorHAnsi"/>
          <w:kern w:val="3"/>
          <w:sz w:val="24"/>
          <w:szCs w:val="24"/>
        </w:rPr>
        <w:t xml:space="preserve">stwierdzenie zgonu; </w:t>
      </w:r>
    </w:p>
    <w:p w:rsidR="009C1161" w:rsidRPr="0084739C" w:rsidRDefault="009C1161" w:rsidP="009C1161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84739C">
        <w:rPr>
          <w:rFonts w:eastAsia="Andale Sans UI" w:cstheme="minorHAnsi"/>
          <w:kern w:val="3"/>
          <w:sz w:val="24"/>
          <w:szCs w:val="24"/>
        </w:rPr>
        <w:t>pojęcie spadku;</w:t>
      </w:r>
    </w:p>
    <w:p w:rsidR="009C1161" w:rsidRPr="0084739C" w:rsidRDefault="009C1161" w:rsidP="009C1161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84739C">
        <w:rPr>
          <w:rFonts w:eastAsia="Andale Sans UI" w:cstheme="minorHAnsi"/>
          <w:kern w:val="3"/>
          <w:sz w:val="24"/>
          <w:szCs w:val="24"/>
        </w:rPr>
        <w:t>dziedziczenie ustawowe;</w:t>
      </w:r>
    </w:p>
    <w:p w:rsidR="009C1161" w:rsidRPr="0084739C" w:rsidRDefault="009C1161" w:rsidP="009C1161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84739C">
        <w:rPr>
          <w:rFonts w:eastAsia="Andale Sans UI" w:cstheme="minorHAnsi"/>
          <w:kern w:val="3"/>
          <w:sz w:val="24"/>
          <w:szCs w:val="24"/>
        </w:rPr>
        <w:t>dziedziczenie testamentowe, w tym w szczególności:</w:t>
      </w:r>
    </w:p>
    <w:p w:rsidR="009C1161" w:rsidRPr="0084739C" w:rsidRDefault="009C1161" w:rsidP="009C1161">
      <w:pPr>
        <w:pStyle w:val="Akapitzlist"/>
        <w:numPr>
          <w:ilvl w:val="0"/>
          <w:numId w:val="2"/>
        </w:numPr>
        <w:spacing w:after="0" w:line="360" w:lineRule="auto"/>
        <w:ind w:left="993" w:hanging="284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84739C">
        <w:rPr>
          <w:rFonts w:eastAsia="Andale Sans UI" w:cstheme="minorHAnsi"/>
          <w:kern w:val="3"/>
          <w:sz w:val="24"/>
          <w:szCs w:val="24"/>
        </w:rPr>
        <w:t>testamenty zwykłe,</w:t>
      </w:r>
    </w:p>
    <w:p w:rsidR="009C1161" w:rsidRPr="0084739C" w:rsidRDefault="009C1161" w:rsidP="009C1161">
      <w:pPr>
        <w:pStyle w:val="Akapitzlist"/>
        <w:numPr>
          <w:ilvl w:val="0"/>
          <w:numId w:val="2"/>
        </w:numPr>
        <w:spacing w:after="0" w:line="360" w:lineRule="auto"/>
        <w:ind w:left="993" w:hanging="284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84739C">
        <w:rPr>
          <w:rFonts w:eastAsia="Andale Sans UI" w:cstheme="minorHAnsi"/>
          <w:kern w:val="3"/>
          <w:sz w:val="24"/>
          <w:szCs w:val="24"/>
        </w:rPr>
        <w:t>testamenty szczególne, w tym w szczególności testament ustny (okoliczności pozwalające na skorzystanie z tej formy testamentu, świadkowie testamentu ustnego, sposoby stwierdzenia treści testamentu ustnego),</w:t>
      </w:r>
    </w:p>
    <w:p w:rsidR="009C1161" w:rsidRPr="0084739C" w:rsidRDefault="009C1161" w:rsidP="009C1161">
      <w:pPr>
        <w:pStyle w:val="Akapitzlist"/>
        <w:numPr>
          <w:ilvl w:val="0"/>
          <w:numId w:val="2"/>
        </w:numPr>
        <w:spacing w:after="0" w:line="360" w:lineRule="auto"/>
        <w:ind w:left="993" w:hanging="284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84739C">
        <w:rPr>
          <w:rFonts w:eastAsia="Andale Sans UI" w:cstheme="minorHAnsi"/>
          <w:kern w:val="3"/>
          <w:sz w:val="24"/>
          <w:szCs w:val="24"/>
        </w:rPr>
        <w:t>przesłanki nieważności testamentu z powodu wady oświadczenia woli (art. 945 k.c.),</w:t>
      </w:r>
    </w:p>
    <w:p w:rsidR="009C1161" w:rsidRPr="0084739C" w:rsidRDefault="009C1161" w:rsidP="009C1161">
      <w:pPr>
        <w:pStyle w:val="Akapitzlist"/>
        <w:numPr>
          <w:ilvl w:val="0"/>
          <w:numId w:val="2"/>
        </w:numPr>
        <w:spacing w:after="0" w:line="360" w:lineRule="auto"/>
        <w:ind w:left="993" w:hanging="284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84739C">
        <w:rPr>
          <w:rFonts w:eastAsia="Andale Sans UI" w:cstheme="minorHAnsi"/>
          <w:kern w:val="3"/>
          <w:sz w:val="24"/>
          <w:szCs w:val="24"/>
        </w:rPr>
        <w:t>wykładnia testamentu (art. 948 k.c.);</w:t>
      </w:r>
    </w:p>
    <w:p w:rsidR="009C1161" w:rsidRPr="0084739C" w:rsidRDefault="009C1161" w:rsidP="009C1161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84739C">
        <w:rPr>
          <w:rFonts w:eastAsia="Andale Sans UI" w:cstheme="minorHAnsi"/>
          <w:kern w:val="3"/>
          <w:sz w:val="24"/>
          <w:szCs w:val="24"/>
        </w:rPr>
        <w:t>zapis i polecenie oraz zapis windykacyjny;</w:t>
      </w:r>
    </w:p>
    <w:p w:rsidR="009C1161" w:rsidRDefault="009C1161" w:rsidP="009C1161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84739C">
        <w:rPr>
          <w:rFonts w:eastAsia="Andale Sans UI" w:cstheme="minorHAnsi"/>
          <w:kern w:val="3"/>
          <w:sz w:val="24"/>
          <w:szCs w:val="24"/>
        </w:rPr>
        <w:t xml:space="preserve">zachowek; </w:t>
      </w:r>
    </w:p>
    <w:p w:rsidR="009C1161" w:rsidRPr="0084739C" w:rsidRDefault="009C1161" w:rsidP="009C1161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>
        <w:rPr>
          <w:rFonts w:eastAsia="Andale Sans UI" w:cstheme="minorHAnsi"/>
          <w:kern w:val="3"/>
          <w:sz w:val="24"/>
          <w:szCs w:val="24"/>
        </w:rPr>
        <w:t>niegodność dziedziczenia;</w:t>
      </w:r>
    </w:p>
    <w:p w:rsidR="009C1161" w:rsidRPr="0084739C" w:rsidRDefault="009C1161" w:rsidP="009C1161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84739C">
        <w:rPr>
          <w:rFonts w:eastAsia="Andale Sans UI" w:cstheme="minorHAnsi"/>
          <w:kern w:val="3"/>
          <w:sz w:val="24"/>
          <w:szCs w:val="24"/>
        </w:rPr>
        <w:t xml:space="preserve">wydziedziczenie; </w:t>
      </w:r>
    </w:p>
    <w:p w:rsidR="009C1161" w:rsidRPr="0084739C" w:rsidRDefault="009C1161" w:rsidP="009C1161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84739C">
        <w:rPr>
          <w:rFonts w:eastAsia="Andale Sans UI" w:cstheme="minorHAnsi"/>
          <w:kern w:val="3"/>
          <w:sz w:val="24"/>
          <w:szCs w:val="24"/>
        </w:rPr>
        <w:t xml:space="preserve">zrzeczenie się dziedziczenia; </w:t>
      </w:r>
    </w:p>
    <w:p w:rsidR="009C1161" w:rsidRPr="0084739C" w:rsidRDefault="009C1161" w:rsidP="009C1161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84739C">
        <w:rPr>
          <w:rFonts w:eastAsia="Andale Sans UI" w:cstheme="minorHAnsi"/>
          <w:kern w:val="3"/>
          <w:sz w:val="24"/>
          <w:szCs w:val="24"/>
        </w:rPr>
        <w:t>przyjęcie i odrzucenie spadku;</w:t>
      </w:r>
    </w:p>
    <w:p w:rsidR="009C1161" w:rsidRPr="0084739C" w:rsidRDefault="009C1161" w:rsidP="009C1161">
      <w:pPr>
        <w:pStyle w:val="Akapitzlist"/>
        <w:numPr>
          <w:ilvl w:val="0"/>
          <w:numId w:val="1"/>
        </w:numPr>
        <w:spacing w:line="36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84739C">
        <w:rPr>
          <w:rFonts w:eastAsia="Andale Sans UI" w:cstheme="minorHAnsi"/>
          <w:kern w:val="3"/>
          <w:sz w:val="24"/>
          <w:szCs w:val="24"/>
        </w:rPr>
        <w:t xml:space="preserve">szczególne zasady dziedziczenia gospodarstw rolnych, w tym w świetle orzecznictwa Trybunału Konstytucyjnego. </w:t>
      </w:r>
    </w:p>
    <w:p w:rsidR="009C1161" w:rsidRPr="0084739C" w:rsidRDefault="009C1161" w:rsidP="009C1161">
      <w:pPr>
        <w:spacing w:line="360" w:lineRule="auto"/>
        <w:ind w:firstLine="709"/>
        <w:jc w:val="both"/>
        <w:rPr>
          <w:rFonts w:cstheme="minorHAnsi"/>
          <w:sz w:val="24"/>
          <w:szCs w:val="24"/>
        </w:rPr>
      </w:pPr>
      <w:r w:rsidRPr="0084739C">
        <w:rPr>
          <w:rFonts w:cstheme="minorHAnsi"/>
          <w:sz w:val="24"/>
          <w:szCs w:val="24"/>
        </w:rPr>
        <w:t xml:space="preserve">W zakresie </w:t>
      </w:r>
      <w:r w:rsidRPr="0084739C">
        <w:rPr>
          <w:rFonts w:cstheme="minorHAnsi"/>
          <w:b/>
          <w:sz w:val="24"/>
          <w:szCs w:val="24"/>
        </w:rPr>
        <w:t>prawa procesowego</w:t>
      </w:r>
      <w:r w:rsidRPr="0084739C">
        <w:rPr>
          <w:rFonts w:cstheme="minorHAnsi"/>
          <w:sz w:val="24"/>
          <w:szCs w:val="24"/>
        </w:rPr>
        <w:t xml:space="preserve"> należy poświęcić uwagę przede wszystkim zagadnieniom obejmującym: </w:t>
      </w:r>
    </w:p>
    <w:p w:rsidR="009C1161" w:rsidRPr="0084739C" w:rsidRDefault="009C1161" w:rsidP="009C1161">
      <w:pPr>
        <w:pStyle w:val="Akapitzlist"/>
        <w:widowControl w:val="0"/>
        <w:numPr>
          <w:ilvl w:val="0"/>
          <w:numId w:val="3"/>
        </w:numPr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84739C">
        <w:rPr>
          <w:rFonts w:cstheme="minorHAnsi"/>
          <w:sz w:val="24"/>
          <w:szCs w:val="24"/>
        </w:rPr>
        <w:t xml:space="preserve">postępowanie w przedmiocie uznania za zmarłego i stwierdzenia zgonu, w tym w szczególności właściwość sądu, ogłoszenie o wszczęciu postępowania, redakcja </w:t>
      </w:r>
      <w:r w:rsidRPr="0084739C">
        <w:rPr>
          <w:rFonts w:cstheme="minorHAnsi"/>
          <w:sz w:val="24"/>
          <w:szCs w:val="24"/>
        </w:rPr>
        <w:lastRenderedPageBreak/>
        <w:t>postanowienia o uznaniu za zmarłego lub stwierdzeniu zgonu;</w:t>
      </w:r>
    </w:p>
    <w:p w:rsidR="009C1161" w:rsidRPr="0084739C" w:rsidRDefault="009C1161" w:rsidP="009C1161">
      <w:pPr>
        <w:pStyle w:val="Akapitzlist"/>
        <w:widowControl w:val="0"/>
        <w:numPr>
          <w:ilvl w:val="0"/>
          <w:numId w:val="3"/>
        </w:numPr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84739C">
        <w:rPr>
          <w:rFonts w:cstheme="minorHAnsi"/>
          <w:sz w:val="24"/>
          <w:szCs w:val="24"/>
        </w:rPr>
        <w:t>postępowanie o stwierdzenie nabycia spadku, w tym w szczególności:</w:t>
      </w:r>
    </w:p>
    <w:p w:rsidR="009C1161" w:rsidRPr="0084739C" w:rsidRDefault="009C1161" w:rsidP="009C1161">
      <w:pPr>
        <w:pStyle w:val="Akapitzlist"/>
        <w:widowControl w:val="0"/>
        <w:numPr>
          <w:ilvl w:val="0"/>
          <w:numId w:val="4"/>
        </w:numPr>
        <w:spacing w:after="0" w:line="360" w:lineRule="auto"/>
        <w:ind w:left="993" w:hanging="284"/>
        <w:contextualSpacing w:val="0"/>
        <w:jc w:val="both"/>
        <w:rPr>
          <w:rFonts w:cstheme="minorHAnsi"/>
          <w:sz w:val="24"/>
          <w:szCs w:val="24"/>
        </w:rPr>
      </w:pPr>
      <w:r w:rsidRPr="0084739C">
        <w:rPr>
          <w:rFonts w:cstheme="minorHAnsi"/>
          <w:sz w:val="24"/>
          <w:szCs w:val="24"/>
        </w:rPr>
        <w:t>legitymacja czynna do złożenia wniosku oraz krąg uczestników postępowania,</w:t>
      </w:r>
    </w:p>
    <w:p w:rsidR="009C1161" w:rsidRPr="0084739C" w:rsidRDefault="009C1161" w:rsidP="009C1161">
      <w:pPr>
        <w:pStyle w:val="Akapitzlist"/>
        <w:widowControl w:val="0"/>
        <w:numPr>
          <w:ilvl w:val="0"/>
          <w:numId w:val="4"/>
        </w:numPr>
        <w:spacing w:after="0" w:line="360" w:lineRule="auto"/>
        <w:ind w:left="993" w:hanging="284"/>
        <w:contextualSpacing w:val="0"/>
        <w:jc w:val="both"/>
        <w:rPr>
          <w:rFonts w:cstheme="minorHAnsi"/>
          <w:sz w:val="24"/>
          <w:szCs w:val="24"/>
        </w:rPr>
      </w:pPr>
      <w:r w:rsidRPr="0084739C">
        <w:rPr>
          <w:rFonts w:cstheme="minorHAnsi"/>
          <w:sz w:val="24"/>
          <w:szCs w:val="24"/>
        </w:rPr>
        <w:t>wezwanie spadkobierców przez ogłoszenie,</w:t>
      </w:r>
    </w:p>
    <w:p w:rsidR="009C1161" w:rsidRPr="0084739C" w:rsidRDefault="009C1161" w:rsidP="009C1161">
      <w:pPr>
        <w:pStyle w:val="Akapitzlist"/>
        <w:widowControl w:val="0"/>
        <w:numPr>
          <w:ilvl w:val="0"/>
          <w:numId w:val="4"/>
        </w:numPr>
        <w:spacing w:after="0" w:line="360" w:lineRule="auto"/>
        <w:ind w:left="993" w:hanging="284"/>
        <w:contextualSpacing w:val="0"/>
        <w:jc w:val="both"/>
        <w:rPr>
          <w:rFonts w:cstheme="minorHAnsi"/>
          <w:sz w:val="24"/>
          <w:szCs w:val="24"/>
        </w:rPr>
      </w:pPr>
      <w:r w:rsidRPr="0084739C">
        <w:rPr>
          <w:rFonts w:cstheme="minorHAnsi"/>
          <w:sz w:val="24"/>
          <w:szCs w:val="24"/>
        </w:rPr>
        <w:t>przesłuchanie świadków testamentu ustnego;</w:t>
      </w:r>
    </w:p>
    <w:p w:rsidR="009C1161" w:rsidRPr="0084739C" w:rsidRDefault="009C1161" w:rsidP="009C1161">
      <w:pPr>
        <w:pStyle w:val="Akapitzlist"/>
        <w:widowControl w:val="0"/>
        <w:numPr>
          <w:ilvl w:val="0"/>
          <w:numId w:val="3"/>
        </w:numPr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84739C">
        <w:rPr>
          <w:rFonts w:cstheme="minorHAnsi"/>
          <w:sz w:val="24"/>
          <w:szCs w:val="24"/>
        </w:rPr>
        <w:t>otwarcie i ogłoszenie testamentu; stwierdzenie nabycia przedmiotu zapisu windykacyjnego; zabezpieczenie spadku i przedmiotu zapisu windykacyjnego;</w:t>
      </w:r>
    </w:p>
    <w:p w:rsidR="009C1161" w:rsidRPr="0084739C" w:rsidRDefault="009C1161" w:rsidP="009C1161">
      <w:pPr>
        <w:pStyle w:val="Akapitzlist"/>
        <w:widowControl w:val="0"/>
        <w:numPr>
          <w:ilvl w:val="0"/>
          <w:numId w:val="3"/>
        </w:numPr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84739C">
        <w:rPr>
          <w:rFonts w:cstheme="minorHAnsi"/>
          <w:sz w:val="24"/>
          <w:szCs w:val="24"/>
        </w:rPr>
        <w:t>postępowanie w przedmiocie ustanowienia kuratora spadku; postępowanie w sprawie o spis inwentarza oraz postępowanie po złożeniu wykazu inwentarza;</w:t>
      </w:r>
    </w:p>
    <w:p w:rsidR="009C1161" w:rsidRPr="0084739C" w:rsidRDefault="009C1161" w:rsidP="009C1161">
      <w:pPr>
        <w:pStyle w:val="Akapitzlist"/>
        <w:widowControl w:val="0"/>
        <w:numPr>
          <w:ilvl w:val="0"/>
          <w:numId w:val="3"/>
        </w:numPr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84739C">
        <w:rPr>
          <w:rFonts w:cstheme="minorHAnsi"/>
          <w:sz w:val="24"/>
          <w:szCs w:val="24"/>
        </w:rPr>
        <w:t>zmiana prawomocnego postanowienia o stwierdzeniu nabycia spadku (art. 679 k.p.c.); uchylenie aktu poświadczenia dziedziczenia;</w:t>
      </w:r>
    </w:p>
    <w:p w:rsidR="009C1161" w:rsidRPr="0084739C" w:rsidRDefault="009C1161" w:rsidP="009C1161">
      <w:pPr>
        <w:pStyle w:val="Akapitzlist"/>
        <w:widowControl w:val="0"/>
        <w:numPr>
          <w:ilvl w:val="0"/>
          <w:numId w:val="3"/>
        </w:numPr>
        <w:spacing w:line="36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84739C">
        <w:rPr>
          <w:rFonts w:cstheme="minorHAnsi"/>
          <w:sz w:val="24"/>
          <w:szCs w:val="24"/>
        </w:rPr>
        <w:t>europejskie postępowanie spadkowe.</w:t>
      </w:r>
    </w:p>
    <w:p w:rsidR="009C1161" w:rsidRPr="0084739C" w:rsidRDefault="009C1161" w:rsidP="009C1161">
      <w:pPr>
        <w:spacing w:line="360" w:lineRule="auto"/>
        <w:ind w:firstLine="709"/>
        <w:jc w:val="both"/>
        <w:rPr>
          <w:rFonts w:cstheme="minorHAnsi"/>
          <w:sz w:val="24"/>
          <w:szCs w:val="24"/>
        </w:rPr>
      </w:pPr>
      <w:r w:rsidRPr="0084739C">
        <w:rPr>
          <w:rFonts w:cstheme="minorHAnsi"/>
          <w:sz w:val="24"/>
          <w:szCs w:val="24"/>
        </w:rPr>
        <w:t xml:space="preserve">Szczególną uwagę należy poświęcić zagadnieniom procesowych i technicznych aspektów </w:t>
      </w:r>
      <w:r w:rsidRPr="0084739C">
        <w:rPr>
          <w:rFonts w:cstheme="minorHAnsi"/>
          <w:b/>
          <w:sz w:val="24"/>
          <w:szCs w:val="24"/>
        </w:rPr>
        <w:t>postępowania dowodowego w sprawach o stwierdzenie nabycia spadku</w:t>
      </w:r>
      <w:r w:rsidRPr="0084739C">
        <w:rPr>
          <w:rFonts w:cstheme="minorHAnsi"/>
          <w:sz w:val="24"/>
          <w:szCs w:val="24"/>
        </w:rPr>
        <w:t>, z</w:t>
      </w:r>
      <w:r>
        <w:rPr>
          <w:rFonts w:cstheme="minorHAnsi"/>
          <w:sz w:val="24"/>
          <w:szCs w:val="24"/>
        </w:rPr>
        <w:t> </w:t>
      </w:r>
      <w:r w:rsidRPr="0084739C">
        <w:rPr>
          <w:rFonts w:cstheme="minorHAnsi"/>
          <w:sz w:val="24"/>
          <w:szCs w:val="24"/>
        </w:rPr>
        <w:t>uwzględnieniem sposobu redagowania postanowień dowodowych dopuszczających dowód z opinii biegłych różnych specjalności w celu stwierdzenia ważności testamentu (dowód z</w:t>
      </w:r>
      <w:r>
        <w:rPr>
          <w:rFonts w:cstheme="minorHAnsi"/>
          <w:sz w:val="24"/>
          <w:szCs w:val="24"/>
        </w:rPr>
        <w:t> </w:t>
      </w:r>
      <w:r w:rsidRPr="0084739C">
        <w:rPr>
          <w:rFonts w:cstheme="minorHAnsi"/>
          <w:sz w:val="24"/>
          <w:szCs w:val="24"/>
        </w:rPr>
        <w:t xml:space="preserve">opinii biegłego do spraw badań porównawczych pisma ręcznego - w tym również gromadzenie materiału porównawczego do badań, dowód z opinii biegłego lekarza psychiatry, dowód z opinii biegłego psychologa – w tym również gromadzenie dokumentacji medycznej, rozróżnienie kompetencji psychiatry i psychologa). </w:t>
      </w:r>
    </w:p>
    <w:p w:rsidR="009C1161" w:rsidRPr="0084739C" w:rsidRDefault="009C1161" w:rsidP="009C1161">
      <w:pPr>
        <w:spacing w:line="360" w:lineRule="auto"/>
        <w:ind w:firstLine="709"/>
        <w:jc w:val="both"/>
        <w:rPr>
          <w:rFonts w:cstheme="minorHAnsi"/>
          <w:b/>
          <w:sz w:val="24"/>
          <w:szCs w:val="24"/>
          <w:u w:val="single"/>
        </w:rPr>
      </w:pPr>
      <w:r w:rsidRPr="0084739C">
        <w:rPr>
          <w:rFonts w:cstheme="minorHAnsi"/>
          <w:b/>
          <w:sz w:val="24"/>
          <w:szCs w:val="24"/>
          <w:u w:val="single"/>
        </w:rPr>
        <w:t>Czynności, które powinny zostać zlecone aplikantowi w trakcie praktyki (czynności obowiązkowe):</w:t>
      </w:r>
    </w:p>
    <w:p w:rsidR="009C1161" w:rsidRPr="0084739C" w:rsidRDefault="009C1161" w:rsidP="009C1161">
      <w:pPr>
        <w:pStyle w:val="Teksttreci60"/>
        <w:shd w:val="clear" w:color="auto" w:fill="auto"/>
        <w:tabs>
          <w:tab w:val="left" w:leader="dot" w:pos="3810"/>
        </w:tabs>
        <w:spacing w:after="1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4739C">
        <w:rPr>
          <w:rFonts w:asciiTheme="minorHAnsi" w:hAnsiTheme="minorHAnsi" w:cstheme="minorHAnsi"/>
          <w:sz w:val="24"/>
          <w:szCs w:val="24"/>
        </w:rPr>
        <w:t xml:space="preserve">Sporządzenie projektów orzeczeń wraz z uzasadnieniem: </w:t>
      </w:r>
    </w:p>
    <w:p w:rsidR="009C1161" w:rsidRPr="0084739C" w:rsidRDefault="009C1161" w:rsidP="009C1161">
      <w:pPr>
        <w:pStyle w:val="Teksttreci60"/>
        <w:numPr>
          <w:ilvl w:val="0"/>
          <w:numId w:val="5"/>
        </w:numPr>
        <w:shd w:val="clear" w:color="auto" w:fill="auto"/>
        <w:tabs>
          <w:tab w:val="left" w:leader="dot" w:pos="3853"/>
        </w:tabs>
        <w:spacing w:line="360" w:lineRule="auto"/>
        <w:ind w:left="7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84739C">
        <w:rPr>
          <w:rFonts w:asciiTheme="minorHAnsi" w:hAnsiTheme="minorHAnsi" w:cstheme="minorHAnsi"/>
          <w:sz w:val="24"/>
          <w:szCs w:val="24"/>
        </w:rPr>
        <w:t>w co najmniej 3 sprawach o stwierdzenie nabycia spadku, w których podniesiono zarzuty co do ważności testamentu lub występuje inny problem wymagający poszerzonej analizy prawnej;</w:t>
      </w:r>
    </w:p>
    <w:p w:rsidR="009C1161" w:rsidRPr="006850D7" w:rsidRDefault="009C1161" w:rsidP="009C1161">
      <w:pPr>
        <w:pStyle w:val="Teksttreci60"/>
        <w:numPr>
          <w:ilvl w:val="0"/>
          <w:numId w:val="5"/>
        </w:numPr>
        <w:shd w:val="clear" w:color="auto" w:fill="auto"/>
        <w:tabs>
          <w:tab w:val="left" w:leader="dot" w:pos="3853"/>
        </w:tabs>
        <w:spacing w:after="160" w:line="360" w:lineRule="auto"/>
        <w:ind w:left="7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6850D7">
        <w:rPr>
          <w:rFonts w:asciiTheme="minorHAnsi" w:hAnsiTheme="minorHAnsi" w:cstheme="minorHAnsi"/>
          <w:sz w:val="24"/>
          <w:szCs w:val="24"/>
        </w:rPr>
        <w:t xml:space="preserve">w co najmniej </w:t>
      </w:r>
      <w:r w:rsidR="006850D7" w:rsidRPr="006850D7">
        <w:rPr>
          <w:rFonts w:asciiTheme="minorHAnsi" w:hAnsiTheme="minorHAnsi" w:cstheme="minorHAnsi"/>
          <w:sz w:val="24"/>
          <w:szCs w:val="24"/>
        </w:rPr>
        <w:t>2</w:t>
      </w:r>
      <w:r w:rsidRPr="006850D7">
        <w:rPr>
          <w:rFonts w:asciiTheme="minorHAnsi" w:hAnsiTheme="minorHAnsi" w:cstheme="minorHAnsi"/>
          <w:sz w:val="24"/>
          <w:szCs w:val="24"/>
        </w:rPr>
        <w:t xml:space="preserve"> spraw</w:t>
      </w:r>
      <w:r w:rsidR="006850D7" w:rsidRPr="006850D7">
        <w:rPr>
          <w:rFonts w:asciiTheme="minorHAnsi" w:hAnsiTheme="minorHAnsi" w:cstheme="minorHAnsi"/>
          <w:sz w:val="24"/>
          <w:szCs w:val="24"/>
        </w:rPr>
        <w:t>ach</w:t>
      </w:r>
      <w:r w:rsidRPr="006850D7">
        <w:rPr>
          <w:rFonts w:asciiTheme="minorHAnsi" w:hAnsiTheme="minorHAnsi" w:cstheme="minorHAnsi"/>
          <w:sz w:val="24"/>
          <w:szCs w:val="24"/>
        </w:rPr>
        <w:t xml:space="preserve"> o uchylenie się od skutków niezłożenia oświadczenia spadkowego</w:t>
      </w:r>
      <w:r w:rsidR="006850D7" w:rsidRPr="006850D7">
        <w:rPr>
          <w:rFonts w:asciiTheme="minorHAnsi" w:hAnsiTheme="minorHAnsi" w:cstheme="minorHAnsi"/>
          <w:sz w:val="24"/>
          <w:szCs w:val="24"/>
        </w:rPr>
        <w:t xml:space="preserve"> </w:t>
      </w:r>
      <w:r w:rsidR="006850D7">
        <w:rPr>
          <w:rFonts w:asciiTheme="minorHAnsi" w:hAnsiTheme="minorHAnsi" w:cstheme="minorHAnsi"/>
          <w:sz w:val="24"/>
          <w:szCs w:val="24"/>
        </w:rPr>
        <w:t xml:space="preserve">lub  </w:t>
      </w:r>
      <w:r w:rsidRPr="006850D7">
        <w:rPr>
          <w:rFonts w:asciiTheme="minorHAnsi" w:hAnsiTheme="minorHAnsi" w:cstheme="minorHAnsi"/>
          <w:sz w:val="24"/>
          <w:szCs w:val="24"/>
        </w:rPr>
        <w:t xml:space="preserve"> o zabezpieczenie spadku lub o spis inwentarza lub o ustanowienie kuratora spadku</w:t>
      </w:r>
    </w:p>
    <w:p w:rsidR="009C1161" w:rsidRPr="0084739C" w:rsidRDefault="009C1161" w:rsidP="009C1161">
      <w:pPr>
        <w:pStyle w:val="Teksttreci60"/>
        <w:numPr>
          <w:ilvl w:val="0"/>
          <w:numId w:val="5"/>
        </w:numPr>
        <w:shd w:val="clear" w:color="auto" w:fill="auto"/>
        <w:tabs>
          <w:tab w:val="left" w:leader="dot" w:pos="3853"/>
        </w:tabs>
        <w:spacing w:after="160" w:line="360" w:lineRule="auto"/>
        <w:ind w:left="7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84739C">
        <w:rPr>
          <w:rFonts w:asciiTheme="minorHAnsi" w:hAnsiTheme="minorHAnsi" w:cstheme="minorHAnsi"/>
          <w:sz w:val="24"/>
          <w:szCs w:val="24"/>
        </w:rPr>
        <w:lastRenderedPageBreak/>
        <w:t>w co najmniej 1 sprawie o</w:t>
      </w:r>
      <w:r>
        <w:rPr>
          <w:rFonts w:asciiTheme="minorHAnsi" w:hAnsiTheme="minorHAnsi" w:cstheme="minorHAnsi"/>
          <w:sz w:val="24"/>
          <w:szCs w:val="24"/>
        </w:rPr>
        <w:t xml:space="preserve"> zachowek lub o uznanie za niegodnego dziedziczenia lub o wykonanie zapisu zwykłego.</w:t>
      </w:r>
    </w:p>
    <w:p w:rsidR="009C1161" w:rsidRPr="00F66505" w:rsidRDefault="009C1161" w:rsidP="009C1161">
      <w:pPr>
        <w:tabs>
          <w:tab w:val="left" w:pos="720"/>
        </w:tabs>
        <w:spacing w:line="360" w:lineRule="auto"/>
        <w:ind w:firstLine="720"/>
        <w:jc w:val="both"/>
        <w:rPr>
          <w:sz w:val="24"/>
          <w:szCs w:val="24"/>
        </w:rPr>
      </w:pPr>
      <w:r w:rsidRPr="00F66505">
        <w:rPr>
          <w:sz w:val="24"/>
          <w:szCs w:val="24"/>
        </w:rPr>
        <w:t xml:space="preserve">Ponadto informuję, że przedmiotem sprawdzianu, który aplikanci będą pisać po zakończeniu praktyki, będzie </w:t>
      </w:r>
      <w:r w:rsidRPr="00F66505">
        <w:rPr>
          <w:b/>
          <w:sz w:val="24"/>
          <w:szCs w:val="24"/>
        </w:rPr>
        <w:t xml:space="preserve">sporządzenie projektu </w:t>
      </w:r>
      <w:r>
        <w:rPr>
          <w:b/>
          <w:sz w:val="24"/>
          <w:szCs w:val="24"/>
        </w:rPr>
        <w:t>orzeczenia</w:t>
      </w:r>
      <w:r w:rsidRPr="00F66505">
        <w:rPr>
          <w:b/>
          <w:sz w:val="24"/>
          <w:szCs w:val="24"/>
        </w:rPr>
        <w:t xml:space="preserve"> kończącego postępowanie w</w:t>
      </w:r>
      <w:r>
        <w:rPr>
          <w:b/>
          <w:sz w:val="24"/>
          <w:szCs w:val="24"/>
        </w:rPr>
        <w:t xml:space="preserve"> </w:t>
      </w:r>
      <w:r w:rsidRPr="00F66505">
        <w:rPr>
          <w:b/>
          <w:sz w:val="24"/>
          <w:szCs w:val="24"/>
        </w:rPr>
        <w:t xml:space="preserve">sprawie z zakresu prawa </w:t>
      </w:r>
      <w:r>
        <w:rPr>
          <w:b/>
          <w:sz w:val="24"/>
          <w:szCs w:val="24"/>
        </w:rPr>
        <w:t>osobowego lub spadkowego</w:t>
      </w:r>
      <w:r w:rsidRPr="00F66505">
        <w:rPr>
          <w:sz w:val="24"/>
          <w:szCs w:val="24"/>
        </w:rPr>
        <w:t xml:space="preserve">, wraz z uzasadnieniem. Tak więc koniecznym jest zwrócenie szczególnej uwagi na nabycie przez aplikantów umiejętności samodzielnego opracowywania projektów orzeczeń wraz z uzasadnieniem w tego rodzaju sprawach. </w:t>
      </w:r>
    </w:p>
    <w:p w:rsidR="009C1161" w:rsidRPr="00F66505" w:rsidRDefault="009C1161" w:rsidP="009C1161">
      <w:pPr>
        <w:pStyle w:val="Akapitzlist"/>
        <w:tabs>
          <w:tab w:val="left" w:pos="720"/>
        </w:tabs>
        <w:spacing w:line="360" w:lineRule="auto"/>
        <w:ind w:left="1160"/>
        <w:jc w:val="both"/>
        <w:rPr>
          <w:sz w:val="24"/>
          <w:szCs w:val="24"/>
        </w:rPr>
      </w:pPr>
    </w:p>
    <w:p w:rsidR="009C1161" w:rsidRPr="00F66505" w:rsidRDefault="009C1161" w:rsidP="009C1161">
      <w:pPr>
        <w:pStyle w:val="Akapitzlist"/>
        <w:spacing w:after="0" w:line="360" w:lineRule="auto"/>
        <w:ind w:left="3992" w:firstLine="256"/>
        <w:rPr>
          <w:rFonts w:eastAsia="Calibri"/>
          <w:sz w:val="24"/>
          <w:szCs w:val="24"/>
        </w:rPr>
      </w:pPr>
      <w:r w:rsidRPr="00F66505">
        <w:rPr>
          <w:rFonts w:eastAsia="Calibri"/>
          <w:sz w:val="24"/>
          <w:szCs w:val="24"/>
        </w:rPr>
        <w:t>Kierownik Działu Dydaktycznego OAS</w:t>
      </w:r>
    </w:p>
    <w:p w:rsidR="009C1161" w:rsidRPr="00F66505" w:rsidRDefault="009C1161" w:rsidP="009C1161">
      <w:pPr>
        <w:pStyle w:val="Akapitzlist"/>
        <w:spacing w:after="0" w:line="360" w:lineRule="auto"/>
        <w:ind w:left="4444" w:firstLine="512"/>
        <w:rPr>
          <w:rFonts w:eastAsia="Calibri"/>
          <w:sz w:val="24"/>
          <w:szCs w:val="24"/>
        </w:rPr>
      </w:pPr>
      <w:r w:rsidRPr="00F66505">
        <w:rPr>
          <w:rFonts w:eastAsia="Calibri"/>
          <w:sz w:val="24"/>
          <w:szCs w:val="24"/>
        </w:rPr>
        <w:t>Magdalena Nagaduś</w:t>
      </w:r>
    </w:p>
    <w:p w:rsidR="009C1161" w:rsidRPr="00F66505" w:rsidRDefault="009C1161" w:rsidP="009C1161">
      <w:pPr>
        <w:pStyle w:val="Akapitzlist"/>
        <w:spacing w:after="60" w:line="336" w:lineRule="auto"/>
        <w:ind w:left="5408" w:firstLine="256"/>
        <w:rPr>
          <w:rFonts w:eastAsia="Calibri"/>
          <w:sz w:val="24"/>
          <w:szCs w:val="24"/>
        </w:rPr>
      </w:pPr>
      <w:r w:rsidRPr="00F66505">
        <w:rPr>
          <w:rFonts w:eastAsia="Calibri"/>
          <w:sz w:val="24"/>
          <w:szCs w:val="24"/>
        </w:rPr>
        <w:t>sędzia</w:t>
      </w:r>
    </w:p>
    <w:p w:rsidR="009C1161" w:rsidRPr="0084739C" w:rsidRDefault="009C1161" w:rsidP="009C1161">
      <w:pPr>
        <w:pStyle w:val="Teksttreci60"/>
        <w:shd w:val="clear" w:color="auto" w:fill="auto"/>
        <w:tabs>
          <w:tab w:val="left" w:leader="dot" w:pos="3810"/>
        </w:tabs>
        <w:spacing w:after="16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54535" w:rsidRDefault="00C54535"/>
    <w:sectPr w:rsidR="00C545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863" w:rsidRDefault="00047863">
      <w:pPr>
        <w:spacing w:after="0" w:line="240" w:lineRule="auto"/>
      </w:pPr>
      <w:r>
        <w:separator/>
      </w:r>
    </w:p>
  </w:endnote>
  <w:endnote w:type="continuationSeparator" w:id="0">
    <w:p w:rsidR="00047863" w:rsidRDefault="00047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318075"/>
      <w:docPartObj>
        <w:docPartGallery w:val="Page Numbers (Bottom of Page)"/>
        <w:docPartUnique/>
      </w:docPartObj>
    </w:sdtPr>
    <w:sdtEndPr/>
    <w:sdtContent>
      <w:p w:rsidR="007A3737" w:rsidRDefault="006850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261">
          <w:rPr>
            <w:noProof/>
          </w:rPr>
          <w:t>2</w:t>
        </w:r>
        <w:r>
          <w:fldChar w:fldCharType="end"/>
        </w:r>
      </w:p>
    </w:sdtContent>
  </w:sdt>
  <w:p w:rsidR="007A3737" w:rsidRDefault="000478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863" w:rsidRDefault="00047863">
      <w:pPr>
        <w:spacing w:after="0" w:line="240" w:lineRule="auto"/>
      </w:pPr>
      <w:r>
        <w:separator/>
      </w:r>
    </w:p>
  </w:footnote>
  <w:footnote w:type="continuationSeparator" w:id="0">
    <w:p w:rsidR="00047863" w:rsidRDefault="00047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7538"/>
    <w:multiLevelType w:val="hybridMultilevel"/>
    <w:tmpl w:val="47D8B9BC"/>
    <w:lvl w:ilvl="0" w:tplc="04150011">
      <w:start w:val="1"/>
      <w:numFmt w:val="decimal"/>
      <w:lvlText w:val="%1)"/>
      <w:lvlJc w:val="left"/>
      <w:pPr>
        <w:ind w:left="11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" w15:restartNumberingAfterBreak="0">
    <w:nsid w:val="2A682305"/>
    <w:multiLevelType w:val="hybridMultilevel"/>
    <w:tmpl w:val="72B4E2FE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C20F5"/>
    <w:multiLevelType w:val="hybridMultilevel"/>
    <w:tmpl w:val="435C8FE8"/>
    <w:lvl w:ilvl="0" w:tplc="2ED86D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24F9A"/>
    <w:multiLevelType w:val="hybridMultilevel"/>
    <w:tmpl w:val="29CE2808"/>
    <w:lvl w:ilvl="0" w:tplc="6B5E7F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04249"/>
    <w:multiLevelType w:val="hybridMultilevel"/>
    <w:tmpl w:val="662ABAD4"/>
    <w:lvl w:ilvl="0" w:tplc="6B5E7FD6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61"/>
    <w:rsid w:val="00047863"/>
    <w:rsid w:val="00350B8E"/>
    <w:rsid w:val="006850D7"/>
    <w:rsid w:val="009C1161"/>
    <w:rsid w:val="00C54535"/>
    <w:rsid w:val="00E70261"/>
    <w:rsid w:val="00EB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7F91B-EFD4-497E-813C-065AF0E1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1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1161"/>
    <w:pPr>
      <w:ind w:left="720"/>
      <w:contextualSpacing/>
    </w:pPr>
  </w:style>
  <w:style w:type="character" w:customStyle="1" w:styleId="Teksttreci6">
    <w:name w:val="Tekst treści (6)_"/>
    <w:basedOn w:val="Domylnaczcionkaakapitu"/>
    <w:link w:val="Teksttreci60"/>
    <w:rsid w:val="009C116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9C116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Stopka">
    <w:name w:val="footer"/>
    <w:basedOn w:val="Normalny"/>
    <w:link w:val="StopkaZnak"/>
    <w:uiPriority w:val="99"/>
    <w:unhideWhenUsed/>
    <w:rsid w:val="009C1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1161"/>
  </w:style>
  <w:style w:type="character" w:styleId="Hipercze">
    <w:name w:val="Hyperlink"/>
    <w:basedOn w:val="Domylnaczcionkaakapitu"/>
    <w:uiPriority w:val="99"/>
    <w:unhideWhenUsed/>
    <w:rsid w:val="009C1161"/>
    <w:rPr>
      <w:color w:val="0563C1" w:themeColor="hyperlink"/>
      <w:u w:val="single"/>
    </w:rPr>
  </w:style>
  <w:style w:type="paragraph" w:customStyle="1" w:styleId="Default">
    <w:name w:val="Default"/>
    <w:rsid w:val="009C11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ssip.gov.pl/node/7958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Nagaduś</dc:creator>
  <cp:keywords/>
  <dc:description/>
  <cp:lastModifiedBy>Monika Górecka</cp:lastModifiedBy>
  <cp:revision>2</cp:revision>
  <dcterms:created xsi:type="dcterms:W3CDTF">2025-12-29T07:32:00Z</dcterms:created>
  <dcterms:modified xsi:type="dcterms:W3CDTF">2025-12-29T07:32:00Z</dcterms:modified>
</cp:coreProperties>
</file>