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2D" w:rsidRPr="009125ED" w:rsidRDefault="00701A2D" w:rsidP="00701A2D">
      <w:pPr>
        <w:spacing w:after="0" w:line="360" w:lineRule="auto"/>
        <w:jc w:val="both"/>
        <w:rPr>
          <w:rFonts w:ascii="Book Antiqua" w:hAnsi="Book Antiqua" w:cstheme="minorHAnsi"/>
          <w:b/>
          <w:i/>
          <w:sz w:val="24"/>
          <w:szCs w:val="24"/>
        </w:rPr>
      </w:pPr>
      <w:bookmarkStart w:id="0" w:name="_GoBack"/>
      <w:bookmarkEnd w:id="0"/>
      <w:r w:rsidRPr="009125ED">
        <w:rPr>
          <w:rFonts w:ascii="Book Antiqua" w:hAnsi="Book Antiqua" w:cstheme="minorHAnsi"/>
          <w:i/>
          <w:sz w:val="24"/>
          <w:szCs w:val="24"/>
        </w:rPr>
        <w:t xml:space="preserve">Zalecenia w sprawie praktyk odbywanych przez aplikantów XIV rocznika aplikacji sędziowskiej po 22 zjeździe XV AS </w:t>
      </w:r>
      <w:r w:rsidRPr="009125ED">
        <w:rPr>
          <w:rFonts w:ascii="Book Antiqua" w:hAnsi="Book Antiqua" w:cstheme="minorHAnsi"/>
          <w:b/>
          <w:i/>
          <w:sz w:val="24"/>
          <w:szCs w:val="24"/>
        </w:rPr>
        <w:t xml:space="preserve">w sądzie rejonowym, w wydziale </w:t>
      </w:r>
      <w:r w:rsidRPr="009125ED">
        <w:rPr>
          <w:rFonts w:ascii="Book Antiqua" w:hAnsi="Book Antiqua"/>
          <w:b/>
          <w:i/>
          <w:sz w:val="24"/>
          <w:szCs w:val="24"/>
        </w:rPr>
        <w:t>ksiąg wieczystych</w:t>
      </w:r>
    </w:p>
    <w:p w:rsidR="00701A2D" w:rsidRPr="009125ED" w:rsidRDefault="00701A2D" w:rsidP="00701A2D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</w:p>
    <w:p w:rsidR="00701A2D" w:rsidRPr="009125ED" w:rsidRDefault="00701A2D" w:rsidP="00701A2D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>Do</w:t>
      </w:r>
    </w:p>
    <w:p w:rsidR="00701A2D" w:rsidRPr="009125ED" w:rsidRDefault="00701A2D" w:rsidP="00701A2D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>Patronów praktyk</w:t>
      </w:r>
    </w:p>
    <w:p w:rsidR="00701A2D" w:rsidRPr="009125ED" w:rsidRDefault="00701A2D" w:rsidP="00701A2D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>oraz Patronów koordynatorów</w:t>
      </w:r>
    </w:p>
    <w:p w:rsidR="00701A2D" w:rsidRPr="009125ED" w:rsidRDefault="00701A2D" w:rsidP="00701A2D">
      <w:pPr>
        <w:spacing w:after="0" w:line="360" w:lineRule="auto"/>
        <w:ind w:firstLine="4961"/>
        <w:rPr>
          <w:rFonts w:ascii="Book Antiqua" w:hAnsi="Book Antiqua" w:cstheme="minorHAnsi"/>
          <w:b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>aplikantów aplikacji sędziowskiej</w:t>
      </w:r>
    </w:p>
    <w:p w:rsidR="00701A2D" w:rsidRPr="009125ED" w:rsidRDefault="00701A2D" w:rsidP="00701A2D">
      <w:pPr>
        <w:spacing w:after="0" w:line="360" w:lineRule="auto"/>
        <w:rPr>
          <w:rFonts w:ascii="Book Antiqua" w:hAnsi="Book Antiqua" w:cstheme="minorHAnsi"/>
          <w:b/>
          <w:sz w:val="24"/>
          <w:szCs w:val="24"/>
        </w:rPr>
      </w:pPr>
    </w:p>
    <w:p w:rsidR="00701A2D" w:rsidRPr="009125ED" w:rsidRDefault="00701A2D" w:rsidP="00701A2D">
      <w:pPr>
        <w:pStyle w:val="Bezodstpw"/>
        <w:spacing w:line="36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9125ED">
        <w:rPr>
          <w:rFonts w:ascii="Book Antiqua" w:hAnsi="Book Antiqua"/>
          <w:sz w:val="24"/>
          <w:szCs w:val="24"/>
        </w:rPr>
        <w:t xml:space="preserve">Uprzejmie przedstawiam szczegółowy zakres tematyczny, który winien być przedmiotem praktyk aplikantów XV rocznika aplikacji sędziowskiej odbywanych po 22 zjeździe w okresie </w:t>
      </w:r>
      <w:r w:rsidR="009125ED">
        <w:rPr>
          <w:rFonts w:ascii="Book Antiqua" w:hAnsi="Book Antiqua"/>
          <w:sz w:val="24"/>
          <w:szCs w:val="24"/>
        </w:rPr>
        <w:t>1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>2.</w:t>
      </w:r>
      <w:r w:rsidR="009125ED">
        <w:rPr>
          <w:rFonts w:ascii="Book Antiqua" w:eastAsia="Times New Roman" w:hAnsi="Book Antiqua"/>
          <w:b/>
          <w:bCs/>
          <w:sz w:val="24"/>
          <w:szCs w:val="24"/>
        </w:rPr>
        <w:t>01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>.202</w:t>
      </w:r>
      <w:r w:rsidR="009125ED">
        <w:rPr>
          <w:rFonts w:ascii="Book Antiqua" w:eastAsia="Times New Roman" w:hAnsi="Book Antiqua"/>
          <w:b/>
          <w:bCs/>
          <w:sz w:val="24"/>
          <w:szCs w:val="24"/>
        </w:rPr>
        <w:t>5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 xml:space="preserve"> r. – </w:t>
      </w:r>
      <w:r w:rsidR="009125ED">
        <w:rPr>
          <w:rFonts w:ascii="Book Antiqua" w:eastAsia="Times New Roman" w:hAnsi="Book Antiqua"/>
          <w:b/>
          <w:bCs/>
          <w:sz w:val="24"/>
          <w:szCs w:val="24"/>
        </w:rPr>
        <w:t>1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>6.</w:t>
      </w:r>
      <w:r w:rsidR="009125ED">
        <w:rPr>
          <w:rFonts w:ascii="Book Antiqua" w:eastAsia="Times New Roman" w:hAnsi="Book Antiqua"/>
          <w:b/>
          <w:bCs/>
          <w:sz w:val="24"/>
          <w:szCs w:val="24"/>
        </w:rPr>
        <w:t>01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>.202</w:t>
      </w:r>
      <w:r w:rsidR="009125ED">
        <w:rPr>
          <w:rFonts w:ascii="Book Antiqua" w:eastAsia="Times New Roman" w:hAnsi="Book Antiqua"/>
          <w:b/>
          <w:bCs/>
          <w:sz w:val="24"/>
          <w:szCs w:val="24"/>
        </w:rPr>
        <w:t>6</w:t>
      </w:r>
      <w:r w:rsidRPr="009125ED">
        <w:rPr>
          <w:rFonts w:ascii="Book Antiqua" w:eastAsia="Times New Roman" w:hAnsi="Book Antiqua"/>
          <w:b/>
          <w:bCs/>
          <w:sz w:val="24"/>
          <w:szCs w:val="24"/>
        </w:rPr>
        <w:t xml:space="preserve"> r. </w:t>
      </w:r>
      <w:r w:rsidRPr="009125ED">
        <w:rPr>
          <w:rFonts w:ascii="Book Antiqua" w:eastAsia="Times New Roman" w:hAnsi="Book Antiqua"/>
          <w:bCs/>
          <w:sz w:val="24"/>
          <w:szCs w:val="24"/>
        </w:rPr>
        <w:t>w</w:t>
      </w: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 </w:t>
      </w:r>
      <w:bookmarkStart w:id="1" w:name="_Hlk213842436"/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wydziale </w:t>
      </w:r>
      <w:r w:rsidRPr="009125ED">
        <w:rPr>
          <w:rFonts w:ascii="Book Antiqua" w:hAnsi="Book Antiqua"/>
          <w:sz w:val="24"/>
          <w:szCs w:val="24"/>
        </w:rPr>
        <w:t>ksiąg wieczystych</w:t>
      </w:r>
      <w:bookmarkEnd w:id="1"/>
      <w:r w:rsidRPr="009125ED">
        <w:rPr>
          <w:rFonts w:ascii="Book Antiqua" w:hAnsi="Book Antiqua"/>
          <w:sz w:val="24"/>
          <w:szCs w:val="24"/>
        </w:rPr>
        <w:t>.</w:t>
      </w:r>
    </w:p>
    <w:p w:rsidR="00701A2D" w:rsidRPr="009125ED" w:rsidRDefault="00701A2D" w:rsidP="00701A2D">
      <w:pPr>
        <w:pStyle w:val="Bezodstpw"/>
        <w:spacing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 xml:space="preserve">Założeniem praktyki, co do zasady, jest zaznajomienie aplikantów z czynnościami i metodyką pracy sędziego/referendarza sądowego oraz doskonalenie umiejętności wykorzystania wiedzy teoretycznej i znajomości orzecznictwa. Praktyka winna utrwalać wiedzę zdobytą podczas bezpośrednio poprzedzających ją zajęć seminaryjnych w ramach zjazdu. </w:t>
      </w: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Patron praktyki ma obowiązek omówić z aplikantem cel, szczegółowy zakres tematyczny praktyki i jej planowany przebieg oraz zapoznać aplikanta ze swoim stanowiskiem pracy i strukturą organizacyjną jednostki, w której jest zatrudniony. </w:t>
      </w: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  <w:u w:val="single"/>
        </w:rPr>
      </w:pP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Patron praktyki powinien w pierwszej kolejności powierzać aplikantowi wykonanie czynności określonych </w:t>
      </w:r>
      <w:r w:rsidRPr="009125ED">
        <w:rPr>
          <w:rFonts w:ascii="Book Antiqua" w:hAnsi="Book Antiqua" w:cstheme="minorHAnsi"/>
          <w:noProof/>
          <w:sz w:val="24"/>
          <w:szCs w:val="24"/>
        </w:rPr>
        <w:t xml:space="preserve">w zaleceniach dotyczących przebiegu praktyki po zjeździe (czynności obowiązkowe), </w:t>
      </w: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udzielać aplikantowi wskazówek i pomocy przy wykonywaniu tych czynności oraz </w:t>
      </w:r>
      <w:r w:rsidRPr="009125ED">
        <w:rPr>
          <w:rFonts w:ascii="Book Antiqua" w:eastAsia="Times New Roman" w:hAnsi="Book Antiqua" w:cstheme="minorHAnsi"/>
          <w:sz w:val="24"/>
          <w:szCs w:val="24"/>
          <w:u w:val="single"/>
        </w:rPr>
        <w:t xml:space="preserve">kontrolować prawidłowość ich wykonania. </w:t>
      </w: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hAnsi="Book Antiqua" w:cstheme="minorHAnsi"/>
          <w:b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 xml:space="preserve">Po wykonaniu czynności przez aplikanta należy szczegółowo omówić z nim rezultaty jego pracy, w tym ewentualne uchybienia. </w:t>
      </w:r>
    </w:p>
    <w:p w:rsidR="00701A2D" w:rsidRPr="009125ED" w:rsidRDefault="00701A2D" w:rsidP="00701A2D">
      <w:pPr>
        <w:spacing w:after="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Uprzejmie proszę o zapoznanie się </w:t>
      </w:r>
      <w:r w:rsidRPr="009125ED">
        <w:rPr>
          <w:rFonts w:ascii="Book Antiqua" w:eastAsia="Times New Roman" w:hAnsi="Book Antiqua" w:cstheme="minorHAnsi"/>
          <w:b/>
          <w:sz w:val="24"/>
          <w:szCs w:val="24"/>
        </w:rPr>
        <w:t>z zarządzeniem Dyrektora Krajowej Szkoły Sądownictwa i Prokuratury Nr 539/2021 z dnia 27 października 2021 r. w sprawie szczegółowych zasad odbywania praktyk przez aplikantów aplikacji sędziowskiej i aplikacji prokuratorskie</w:t>
      </w:r>
      <w:r w:rsidRPr="009125ED">
        <w:rPr>
          <w:rFonts w:ascii="Book Antiqua" w:eastAsia="Times New Roman" w:hAnsi="Book Antiqua" w:cstheme="minorHAnsi"/>
          <w:sz w:val="24"/>
          <w:szCs w:val="24"/>
        </w:rPr>
        <w:t>j, które znajduje się na stronie internetowej Krajowej Szkoły Sądownictwa i Prokuratury pod adresem</w:t>
      </w:r>
      <w:r w:rsidRPr="009125ED">
        <w:rPr>
          <w:rFonts w:ascii="Book Antiqua" w:hAnsi="Book Antiqua" w:cstheme="minorHAnsi"/>
          <w:sz w:val="24"/>
          <w:szCs w:val="24"/>
        </w:rPr>
        <w:t xml:space="preserve"> </w:t>
      </w:r>
      <w:hyperlink r:id="rId7" w:history="1">
        <w:r w:rsidRPr="009125ED">
          <w:rPr>
            <w:rStyle w:val="Hipercze"/>
            <w:rFonts w:ascii="Book Antiqua" w:eastAsia="Times New Roman" w:hAnsi="Book Antiqua" w:cstheme="minorHAnsi"/>
            <w:sz w:val="24"/>
            <w:szCs w:val="24"/>
          </w:rPr>
          <w:t>https://www.kssip.gov.pl/node/7958.</w:t>
        </w:r>
      </w:hyperlink>
      <w:r w:rsidRPr="009125ED">
        <w:rPr>
          <w:rFonts w:ascii="Book Antiqua" w:eastAsia="Times New Roman" w:hAnsi="Book Antiqua" w:cstheme="minorHAnsi"/>
          <w:sz w:val="24"/>
          <w:szCs w:val="24"/>
        </w:rPr>
        <w:tab/>
      </w:r>
    </w:p>
    <w:p w:rsidR="00701A2D" w:rsidRPr="009125ED" w:rsidRDefault="00701A2D" w:rsidP="00701A2D">
      <w:pPr>
        <w:spacing w:after="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b/>
          <w:sz w:val="24"/>
          <w:szCs w:val="24"/>
        </w:rPr>
        <w:t xml:space="preserve">Przedmiotem 22 zjazdu jest </w:t>
      </w:r>
      <w:r w:rsidRPr="009125ED">
        <w:rPr>
          <w:rFonts w:ascii="Book Antiqua" w:hAnsi="Book Antiqua" w:cstheme="minorHAnsi"/>
          <w:b/>
          <w:bCs/>
          <w:sz w:val="24"/>
          <w:szCs w:val="24"/>
        </w:rPr>
        <w:t>prawo rzeczowe i postępowanie nieprocesowe.</w:t>
      </w: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Patron praktyki oraz patron koordynator powinni zapewnić, aby w toku praktyki aplikanci zapoznali się z:</w:t>
      </w:r>
    </w:p>
    <w:p w:rsidR="00701A2D" w:rsidRPr="009125ED" w:rsidRDefault="00701A2D" w:rsidP="00701A2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przebiegiem typowych spraw wieczystoksięgowych od wpływu wniosku do merytorycznego rozstrzygnięcia;</w:t>
      </w:r>
    </w:p>
    <w:p w:rsidR="00701A2D" w:rsidRPr="009125ED" w:rsidRDefault="00701A2D" w:rsidP="00701A2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zakresem kognicji sądu wieczystoksięgowego;</w:t>
      </w:r>
    </w:p>
    <w:p w:rsidR="00701A2D" w:rsidRPr="009125ED" w:rsidRDefault="00701A2D" w:rsidP="00701A2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przebiegiem postępowania ze skargi na czynność referendarza sądowego;</w:t>
      </w:r>
    </w:p>
    <w:p w:rsidR="00701A2D" w:rsidRPr="009125ED" w:rsidRDefault="00701A2D" w:rsidP="00701A2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systemem elektrycznej księgi wieczystej, w tym interpretacją jej zapisów;</w:t>
      </w:r>
    </w:p>
    <w:p w:rsidR="00701A2D" w:rsidRPr="009125ED" w:rsidRDefault="00701A2D" w:rsidP="00701A2D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aktami ksiąg wieczystych i poznali ich znaczenie dla postępowań wieczystoksięgowych oraz postępowań cywilnych.</w:t>
      </w:r>
    </w:p>
    <w:p w:rsidR="00701A2D" w:rsidRPr="009125ED" w:rsidRDefault="00701A2D" w:rsidP="00701A2D">
      <w:pPr>
        <w:pStyle w:val="Akapitzlist"/>
        <w:spacing w:after="0" w:line="240" w:lineRule="auto"/>
        <w:contextualSpacing w:val="0"/>
        <w:jc w:val="both"/>
        <w:rPr>
          <w:rFonts w:ascii="Book Antiqua" w:hAnsi="Book Antiqua" w:cstheme="minorHAnsi"/>
          <w:sz w:val="24"/>
          <w:szCs w:val="24"/>
        </w:rPr>
      </w:pPr>
    </w:p>
    <w:p w:rsidR="00701A2D" w:rsidRPr="009125ED" w:rsidRDefault="00701A2D" w:rsidP="00701A2D">
      <w:pPr>
        <w:spacing w:after="120" w:line="360" w:lineRule="auto"/>
        <w:ind w:firstLine="709"/>
        <w:jc w:val="both"/>
        <w:rPr>
          <w:rFonts w:ascii="Book Antiqua" w:hAnsi="Book Antiqua" w:cstheme="minorHAnsi"/>
          <w:b/>
          <w:sz w:val="24"/>
          <w:szCs w:val="24"/>
          <w:u w:val="single"/>
        </w:rPr>
      </w:pPr>
      <w:r w:rsidRPr="009125ED">
        <w:rPr>
          <w:rFonts w:ascii="Book Antiqua" w:hAnsi="Book Antiqua" w:cstheme="minorHAnsi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701A2D" w:rsidRPr="009125ED" w:rsidRDefault="00701A2D" w:rsidP="00701A2D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Book Antiqua" w:eastAsia="Times New Roman" w:hAnsi="Book Antiqua" w:cstheme="minorHAnsi"/>
          <w:sz w:val="24"/>
          <w:szCs w:val="24"/>
        </w:rPr>
      </w:pPr>
      <w:r w:rsidRPr="009125ED">
        <w:rPr>
          <w:rFonts w:ascii="Book Antiqua" w:hAnsi="Book Antiqua" w:cstheme="minorHAnsi"/>
          <w:sz w:val="24"/>
          <w:szCs w:val="24"/>
        </w:rPr>
        <w:t>sporządzenie co najmniej jednego postanowienia o oddaleniu wniosku o wpis wraz z uzasadnieniem (oraz zarządzeniami)</w:t>
      </w:r>
      <w:r w:rsidRPr="009125ED">
        <w:rPr>
          <w:rFonts w:ascii="Book Antiqua" w:eastAsia="Times New Roman" w:hAnsi="Book Antiqua" w:cstheme="minorHAnsi"/>
          <w:sz w:val="24"/>
          <w:szCs w:val="24"/>
        </w:rPr>
        <w:t>;</w:t>
      </w:r>
    </w:p>
    <w:p w:rsidR="00701A2D" w:rsidRPr="009125ED" w:rsidRDefault="00701A2D" w:rsidP="00701A2D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Book Antiqua" w:hAnsi="Book Antiqua"/>
          <w:sz w:val="24"/>
          <w:szCs w:val="24"/>
        </w:rPr>
      </w:pPr>
      <w:r w:rsidRPr="009125ED">
        <w:rPr>
          <w:rFonts w:ascii="Book Antiqua" w:eastAsia="Times New Roman" w:hAnsi="Book Antiqua" w:cstheme="minorHAnsi"/>
          <w:sz w:val="24"/>
          <w:szCs w:val="24"/>
        </w:rPr>
        <w:t xml:space="preserve">sporządzenie co najmniej </w:t>
      </w:r>
      <w:r w:rsidRPr="009125ED">
        <w:rPr>
          <w:rFonts w:ascii="Book Antiqua" w:hAnsi="Book Antiqua" w:cstheme="minorHAnsi"/>
          <w:sz w:val="24"/>
          <w:szCs w:val="24"/>
        </w:rPr>
        <w:t>jednego postanowienia w przedmiocie rozpoznania skargi na czynność referendarza sądowego wraz z uzasadnieniem (oraz zarządzeniami).</w:t>
      </w:r>
    </w:p>
    <w:p w:rsidR="00701A2D" w:rsidRPr="009125ED" w:rsidRDefault="00701A2D" w:rsidP="00701A2D">
      <w:pPr>
        <w:pStyle w:val="Akapitzlist"/>
        <w:spacing w:after="0" w:line="360" w:lineRule="auto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701A2D" w:rsidRPr="009125ED" w:rsidRDefault="00701A2D" w:rsidP="00701A2D">
      <w:pPr>
        <w:spacing w:after="0" w:line="360" w:lineRule="auto"/>
        <w:ind w:firstLine="709"/>
        <w:jc w:val="both"/>
        <w:rPr>
          <w:rFonts w:ascii="Book Antiqua" w:hAnsi="Book Antiqua"/>
          <w:sz w:val="24"/>
          <w:szCs w:val="24"/>
        </w:rPr>
      </w:pPr>
      <w:bookmarkStart w:id="2" w:name="_Hlk213842394"/>
      <w:r w:rsidRPr="009125ED">
        <w:rPr>
          <w:rFonts w:ascii="Book Antiqua" w:hAnsi="Book Antiqua"/>
          <w:sz w:val="24"/>
          <w:szCs w:val="24"/>
        </w:rPr>
        <w:t xml:space="preserve">Ponadto informuję, że  zakończeniu praktyki aplikanci pisać będą sprawdzian, którego przedmiotem będzie </w:t>
      </w:r>
      <w:r w:rsidRPr="009125ED">
        <w:rPr>
          <w:rFonts w:ascii="Book Antiqua" w:hAnsi="Book Antiqua"/>
          <w:b/>
          <w:sz w:val="24"/>
          <w:szCs w:val="24"/>
        </w:rPr>
        <w:t>sporządzenie projektu postanowienia kończącego postępowanie w sprawie z zakresu prawa rzeczowego,</w:t>
      </w:r>
      <w:r w:rsidRPr="009125ED">
        <w:rPr>
          <w:rFonts w:ascii="Book Antiqua" w:hAnsi="Book Antiqua"/>
          <w:sz w:val="24"/>
          <w:szCs w:val="24"/>
        </w:rPr>
        <w:t xml:space="preserve"> rozpatrywanej w trybie nieprocesowym, wraz z uzasadnieniem. </w:t>
      </w:r>
    </w:p>
    <w:bookmarkEnd w:id="2"/>
    <w:p w:rsidR="00701A2D" w:rsidRPr="009125ED" w:rsidRDefault="00701A2D" w:rsidP="00701A2D">
      <w:pPr>
        <w:tabs>
          <w:tab w:val="left" w:pos="720"/>
        </w:tabs>
        <w:spacing w:line="36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701A2D" w:rsidRPr="009125ED" w:rsidRDefault="00701A2D" w:rsidP="00701A2D">
      <w:pPr>
        <w:spacing w:after="0" w:line="360" w:lineRule="auto"/>
        <w:ind w:left="3538"/>
        <w:jc w:val="center"/>
        <w:rPr>
          <w:rFonts w:ascii="Book Antiqua" w:eastAsia="Calibri" w:hAnsi="Book Antiqua"/>
          <w:sz w:val="24"/>
          <w:szCs w:val="24"/>
        </w:rPr>
      </w:pPr>
      <w:r w:rsidRPr="009125ED">
        <w:rPr>
          <w:rFonts w:ascii="Book Antiqua" w:eastAsia="Calibri" w:hAnsi="Book Antiqua"/>
          <w:sz w:val="24"/>
          <w:szCs w:val="24"/>
        </w:rPr>
        <w:t>Kierownik Działu Dydaktycznego OAS</w:t>
      </w:r>
    </w:p>
    <w:p w:rsidR="00701A2D" w:rsidRPr="009125ED" w:rsidRDefault="00701A2D" w:rsidP="00701A2D">
      <w:pPr>
        <w:spacing w:after="0" w:line="360" w:lineRule="auto"/>
        <w:ind w:left="3538"/>
        <w:jc w:val="center"/>
        <w:rPr>
          <w:rFonts w:ascii="Book Antiqua" w:eastAsia="Calibri" w:hAnsi="Book Antiqua"/>
          <w:sz w:val="24"/>
          <w:szCs w:val="24"/>
        </w:rPr>
      </w:pPr>
      <w:r w:rsidRPr="009125ED">
        <w:rPr>
          <w:rFonts w:ascii="Book Antiqua" w:eastAsia="Calibri" w:hAnsi="Book Antiqua"/>
          <w:sz w:val="24"/>
          <w:szCs w:val="24"/>
        </w:rPr>
        <w:t>Magdalena Nagaduś</w:t>
      </w:r>
    </w:p>
    <w:p w:rsidR="00701A2D" w:rsidRPr="009125ED" w:rsidRDefault="00701A2D" w:rsidP="00701A2D">
      <w:pPr>
        <w:spacing w:after="60" w:line="360" w:lineRule="auto"/>
        <w:ind w:left="3540"/>
        <w:jc w:val="center"/>
        <w:rPr>
          <w:rFonts w:ascii="Book Antiqua" w:eastAsia="Calibri" w:hAnsi="Book Antiqua"/>
          <w:sz w:val="24"/>
          <w:szCs w:val="24"/>
        </w:rPr>
      </w:pPr>
      <w:r w:rsidRPr="009125ED">
        <w:rPr>
          <w:rFonts w:ascii="Book Antiqua" w:eastAsia="Calibri" w:hAnsi="Book Antiqua"/>
          <w:sz w:val="24"/>
          <w:szCs w:val="24"/>
        </w:rPr>
        <w:t>sędzia</w:t>
      </w:r>
    </w:p>
    <w:p w:rsidR="005A7085" w:rsidRDefault="005A7085"/>
    <w:sectPr w:rsidR="005A70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C3" w:rsidRDefault="00C80DC3">
      <w:pPr>
        <w:spacing w:after="0" w:line="240" w:lineRule="auto"/>
      </w:pPr>
      <w:r>
        <w:separator/>
      </w:r>
    </w:p>
  </w:endnote>
  <w:endnote w:type="continuationSeparator" w:id="0">
    <w:p w:rsidR="00C80DC3" w:rsidRDefault="00C8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701A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7D">
          <w:rPr>
            <w:noProof/>
          </w:rPr>
          <w:t>2</w:t>
        </w:r>
        <w:r>
          <w:fldChar w:fldCharType="end"/>
        </w:r>
      </w:p>
    </w:sdtContent>
  </w:sdt>
  <w:p w:rsidR="007A3737" w:rsidRDefault="00C80D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C3" w:rsidRDefault="00C80DC3">
      <w:pPr>
        <w:spacing w:after="0" w:line="240" w:lineRule="auto"/>
      </w:pPr>
      <w:r>
        <w:separator/>
      </w:r>
    </w:p>
  </w:footnote>
  <w:footnote w:type="continuationSeparator" w:id="0">
    <w:p w:rsidR="00C80DC3" w:rsidRDefault="00C8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601"/>
    <w:multiLevelType w:val="hybridMultilevel"/>
    <w:tmpl w:val="FD22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D0EF4"/>
    <w:multiLevelType w:val="hybridMultilevel"/>
    <w:tmpl w:val="F1A255F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2D"/>
    <w:rsid w:val="00335BFF"/>
    <w:rsid w:val="00470B7D"/>
    <w:rsid w:val="005A7085"/>
    <w:rsid w:val="00701A2D"/>
    <w:rsid w:val="008259DE"/>
    <w:rsid w:val="009125ED"/>
    <w:rsid w:val="00C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3CAE9-9D0B-497A-98CE-4E5A6F0E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A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0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2D"/>
  </w:style>
  <w:style w:type="character" w:styleId="Hipercze">
    <w:name w:val="Hyperlink"/>
    <w:basedOn w:val="Domylnaczcionkaakapitu"/>
    <w:uiPriority w:val="99"/>
    <w:unhideWhenUsed/>
    <w:rsid w:val="00701A2D"/>
    <w:rPr>
      <w:color w:val="0563C1" w:themeColor="hyperlink"/>
      <w:u w:val="single"/>
    </w:rPr>
  </w:style>
  <w:style w:type="paragraph" w:styleId="Bezodstpw">
    <w:name w:val="No Spacing"/>
    <w:basedOn w:val="Normalny"/>
    <w:uiPriority w:val="1"/>
    <w:qFormat/>
    <w:rsid w:val="00701A2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node/7958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Nagaduś</dc:creator>
  <cp:keywords/>
  <dc:description/>
  <cp:lastModifiedBy>Monika Górecka</cp:lastModifiedBy>
  <cp:revision>2</cp:revision>
  <dcterms:created xsi:type="dcterms:W3CDTF">2025-11-17T09:53:00Z</dcterms:created>
  <dcterms:modified xsi:type="dcterms:W3CDTF">2025-11-17T09:53:00Z</dcterms:modified>
</cp:coreProperties>
</file>