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2A" w:rsidRPr="00B54BD7" w:rsidRDefault="00BA042A">
      <w:pPr>
        <w:rPr>
          <w:rFonts w:ascii="Book Antiqua" w:hAnsi="Book Antiqua"/>
        </w:rPr>
      </w:pPr>
      <w:bookmarkStart w:id="0" w:name="_GoBack"/>
      <w:bookmarkEnd w:id="0"/>
    </w:p>
    <w:p w:rsidR="00BA042A" w:rsidRPr="00B54BD7" w:rsidRDefault="00BA042A" w:rsidP="00BA042A">
      <w:pPr>
        <w:rPr>
          <w:rFonts w:ascii="Book Antiqua" w:hAnsi="Book Antiqua"/>
        </w:rPr>
      </w:pPr>
    </w:p>
    <w:p w:rsidR="00BA042A" w:rsidRPr="00B54BD7" w:rsidRDefault="00BA042A" w:rsidP="00BA042A">
      <w:pPr>
        <w:spacing w:after="0" w:line="360" w:lineRule="auto"/>
        <w:jc w:val="both"/>
        <w:rPr>
          <w:rFonts w:ascii="Book Antiqua" w:hAnsi="Book Antiqua" w:cstheme="minorHAnsi"/>
          <w:b/>
          <w:i/>
          <w:sz w:val="24"/>
          <w:szCs w:val="24"/>
        </w:rPr>
      </w:pPr>
      <w:r w:rsidRPr="00B54BD7">
        <w:rPr>
          <w:rFonts w:ascii="Book Antiqua" w:hAnsi="Book Antiqua"/>
        </w:rPr>
        <w:tab/>
      </w:r>
      <w:r w:rsidRPr="00B54BD7">
        <w:rPr>
          <w:rFonts w:ascii="Book Antiqua" w:hAnsi="Book Antiqua" w:cstheme="minorHAnsi"/>
          <w:i/>
          <w:sz w:val="24"/>
          <w:szCs w:val="24"/>
        </w:rPr>
        <w:t xml:space="preserve">Zalecenia w sprawie praktyk odbywanych przez aplikantów XIV rocznika aplikacji sędziowskiej po 22 zjeździe XV AS </w:t>
      </w:r>
      <w:r w:rsidRPr="00B54BD7">
        <w:rPr>
          <w:rFonts w:ascii="Book Antiqua" w:hAnsi="Book Antiqua" w:cstheme="minorHAnsi"/>
          <w:b/>
          <w:i/>
          <w:sz w:val="24"/>
          <w:szCs w:val="24"/>
        </w:rPr>
        <w:t>w sądzie rejonowym, w wydziale cywilnym</w:t>
      </w:r>
      <w:r w:rsidRPr="00B54BD7">
        <w:rPr>
          <w:rFonts w:ascii="Book Antiqua" w:hAnsi="Book Antiqua"/>
          <w:b/>
          <w:i/>
          <w:sz w:val="24"/>
          <w:szCs w:val="24"/>
        </w:rPr>
        <w:t>, w którym rozpatrywane są sprawy w trybie nieprocesowym</w:t>
      </w:r>
    </w:p>
    <w:p w:rsidR="00BA042A" w:rsidRPr="00B54BD7" w:rsidRDefault="00BA042A" w:rsidP="00BA042A">
      <w:pPr>
        <w:spacing w:after="0" w:line="360" w:lineRule="auto"/>
        <w:rPr>
          <w:rFonts w:ascii="Book Antiqua" w:hAnsi="Book Antiqua" w:cstheme="minorHAnsi"/>
          <w:sz w:val="24"/>
          <w:szCs w:val="24"/>
        </w:rPr>
      </w:pPr>
    </w:p>
    <w:p w:rsidR="00BA042A" w:rsidRPr="00B54BD7" w:rsidRDefault="00BA042A" w:rsidP="00BA042A">
      <w:pPr>
        <w:spacing w:after="0" w:line="360" w:lineRule="auto"/>
        <w:ind w:firstLine="4961"/>
        <w:rPr>
          <w:rFonts w:ascii="Book Antiqua" w:hAnsi="Book Antiqua" w:cstheme="minorHAnsi"/>
          <w:b/>
          <w:sz w:val="24"/>
          <w:szCs w:val="24"/>
        </w:rPr>
      </w:pPr>
      <w:r w:rsidRPr="00B54BD7">
        <w:rPr>
          <w:rFonts w:ascii="Book Antiqua" w:hAnsi="Book Antiqua" w:cstheme="minorHAnsi"/>
          <w:b/>
          <w:sz w:val="24"/>
          <w:szCs w:val="24"/>
        </w:rPr>
        <w:t>Do</w:t>
      </w:r>
    </w:p>
    <w:p w:rsidR="00BA042A" w:rsidRPr="00B54BD7" w:rsidRDefault="00BA042A" w:rsidP="00BA042A">
      <w:pPr>
        <w:spacing w:after="0" w:line="360" w:lineRule="auto"/>
        <w:ind w:firstLine="4961"/>
        <w:rPr>
          <w:rFonts w:ascii="Book Antiqua" w:hAnsi="Book Antiqua" w:cstheme="minorHAnsi"/>
          <w:b/>
          <w:sz w:val="24"/>
          <w:szCs w:val="24"/>
        </w:rPr>
      </w:pPr>
      <w:r w:rsidRPr="00B54BD7">
        <w:rPr>
          <w:rFonts w:ascii="Book Antiqua" w:hAnsi="Book Antiqua" w:cstheme="minorHAnsi"/>
          <w:b/>
          <w:sz w:val="24"/>
          <w:szCs w:val="24"/>
        </w:rPr>
        <w:t>Patronów praktyk</w:t>
      </w:r>
    </w:p>
    <w:p w:rsidR="00BA042A" w:rsidRPr="00B54BD7" w:rsidRDefault="00BA042A" w:rsidP="00BA042A">
      <w:pPr>
        <w:spacing w:after="0" w:line="360" w:lineRule="auto"/>
        <w:ind w:firstLine="4961"/>
        <w:rPr>
          <w:rFonts w:ascii="Book Antiqua" w:hAnsi="Book Antiqua" w:cstheme="minorHAnsi"/>
          <w:b/>
          <w:sz w:val="24"/>
          <w:szCs w:val="24"/>
        </w:rPr>
      </w:pPr>
      <w:r w:rsidRPr="00B54BD7">
        <w:rPr>
          <w:rFonts w:ascii="Book Antiqua" w:hAnsi="Book Antiqua" w:cstheme="minorHAnsi"/>
          <w:b/>
          <w:sz w:val="24"/>
          <w:szCs w:val="24"/>
        </w:rPr>
        <w:t>oraz Patronów koordynatorów</w:t>
      </w:r>
    </w:p>
    <w:p w:rsidR="00BA042A" w:rsidRPr="00B54BD7" w:rsidRDefault="00BA042A" w:rsidP="00BA042A">
      <w:pPr>
        <w:spacing w:after="0" w:line="360" w:lineRule="auto"/>
        <w:ind w:firstLine="4961"/>
        <w:rPr>
          <w:rFonts w:ascii="Book Antiqua" w:hAnsi="Book Antiqua" w:cstheme="minorHAnsi"/>
          <w:b/>
          <w:sz w:val="24"/>
          <w:szCs w:val="24"/>
        </w:rPr>
      </w:pPr>
      <w:r w:rsidRPr="00B54BD7">
        <w:rPr>
          <w:rFonts w:ascii="Book Antiqua" w:hAnsi="Book Antiqua" w:cstheme="minorHAnsi"/>
          <w:b/>
          <w:sz w:val="24"/>
          <w:szCs w:val="24"/>
        </w:rPr>
        <w:t>aplikantów aplikacji sędziowskiej</w:t>
      </w:r>
    </w:p>
    <w:p w:rsidR="00BA042A" w:rsidRPr="00B54BD7" w:rsidRDefault="00BA042A" w:rsidP="00BA042A">
      <w:pPr>
        <w:spacing w:after="0" w:line="360" w:lineRule="auto"/>
        <w:rPr>
          <w:rFonts w:ascii="Book Antiqua" w:hAnsi="Book Antiqua" w:cstheme="minorHAnsi"/>
          <w:b/>
          <w:sz w:val="24"/>
          <w:szCs w:val="24"/>
        </w:rPr>
      </w:pPr>
    </w:p>
    <w:p w:rsidR="00BA042A" w:rsidRPr="00B54BD7" w:rsidRDefault="00BA042A" w:rsidP="00BA042A">
      <w:pPr>
        <w:spacing w:after="120" w:line="360" w:lineRule="auto"/>
        <w:ind w:firstLine="709"/>
        <w:jc w:val="both"/>
        <w:rPr>
          <w:rFonts w:ascii="Book Antiqua" w:hAnsi="Book Antiqua" w:cstheme="minorHAnsi"/>
          <w:sz w:val="24"/>
          <w:szCs w:val="24"/>
        </w:rPr>
      </w:pPr>
      <w:r w:rsidRPr="00B54BD7">
        <w:rPr>
          <w:rFonts w:ascii="Book Antiqua" w:hAnsi="Book Antiqua"/>
          <w:sz w:val="24"/>
          <w:szCs w:val="24"/>
        </w:rPr>
        <w:t xml:space="preserve">Uprzejmie przedstawiam szczegółowy zakres tematyczny, który winien być przedmiotem praktyk aplikantów XV rocznika aplikacji sędziowskiej odbywanych po 22 zjeździe w okresie </w:t>
      </w:r>
      <w:r w:rsidR="00B54BD7" w:rsidRPr="00B54BD7">
        <w:rPr>
          <w:rFonts w:ascii="Book Antiqua" w:eastAsia="Times New Roman" w:hAnsi="Book Antiqua"/>
          <w:b/>
          <w:bCs/>
          <w:sz w:val="24"/>
          <w:szCs w:val="24"/>
        </w:rPr>
        <w:t>22</w:t>
      </w:r>
      <w:r w:rsidRPr="00B54BD7">
        <w:rPr>
          <w:rFonts w:ascii="Book Antiqua" w:eastAsia="Times New Roman" w:hAnsi="Book Antiqua"/>
          <w:b/>
          <w:bCs/>
          <w:sz w:val="24"/>
          <w:szCs w:val="24"/>
        </w:rPr>
        <w:t>.12.202</w:t>
      </w:r>
      <w:r w:rsidR="00B54BD7">
        <w:rPr>
          <w:rFonts w:ascii="Book Antiqua" w:eastAsia="Times New Roman" w:hAnsi="Book Antiqua"/>
          <w:b/>
          <w:bCs/>
          <w:sz w:val="24"/>
          <w:szCs w:val="24"/>
        </w:rPr>
        <w:t>5</w:t>
      </w:r>
      <w:r w:rsidRPr="00B54BD7">
        <w:rPr>
          <w:rFonts w:ascii="Book Antiqua" w:eastAsia="Times New Roman" w:hAnsi="Book Antiqua"/>
          <w:b/>
          <w:bCs/>
          <w:sz w:val="24"/>
          <w:szCs w:val="24"/>
        </w:rPr>
        <w:t xml:space="preserve"> r. – </w:t>
      </w:r>
      <w:r w:rsidR="00B54BD7" w:rsidRPr="00B54BD7">
        <w:rPr>
          <w:rFonts w:ascii="Book Antiqua" w:eastAsia="Times New Roman" w:hAnsi="Book Antiqua"/>
          <w:b/>
          <w:bCs/>
          <w:sz w:val="24"/>
          <w:szCs w:val="24"/>
        </w:rPr>
        <w:t>09.</w:t>
      </w:r>
      <w:r w:rsidRPr="00B54BD7">
        <w:rPr>
          <w:rFonts w:ascii="Book Antiqua" w:eastAsia="Times New Roman" w:hAnsi="Book Antiqua"/>
          <w:b/>
          <w:bCs/>
          <w:sz w:val="24"/>
          <w:szCs w:val="24"/>
        </w:rPr>
        <w:t>01.202</w:t>
      </w:r>
      <w:r w:rsidR="00B54BD7" w:rsidRPr="00B54BD7">
        <w:rPr>
          <w:rFonts w:ascii="Book Antiqua" w:eastAsia="Times New Roman" w:hAnsi="Book Antiqua"/>
          <w:b/>
          <w:bCs/>
          <w:sz w:val="24"/>
          <w:szCs w:val="24"/>
        </w:rPr>
        <w:t>6</w:t>
      </w:r>
      <w:r w:rsidRPr="00B54BD7">
        <w:rPr>
          <w:rFonts w:ascii="Book Antiqua" w:eastAsia="Times New Roman" w:hAnsi="Book Antiqua"/>
          <w:b/>
          <w:bCs/>
          <w:sz w:val="24"/>
          <w:szCs w:val="24"/>
        </w:rPr>
        <w:t xml:space="preserve"> r. </w:t>
      </w:r>
      <w:r w:rsidRPr="00B54BD7">
        <w:rPr>
          <w:rFonts w:ascii="Book Antiqua" w:eastAsia="Times New Roman" w:hAnsi="Book Antiqua"/>
          <w:bCs/>
          <w:sz w:val="24"/>
          <w:szCs w:val="24"/>
        </w:rPr>
        <w:t>w</w:t>
      </w:r>
      <w:r w:rsidRPr="00B54BD7">
        <w:rPr>
          <w:rFonts w:ascii="Book Antiqua" w:eastAsia="Times New Roman" w:hAnsi="Book Antiqua" w:cstheme="minorHAnsi"/>
          <w:sz w:val="24"/>
          <w:szCs w:val="24"/>
        </w:rPr>
        <w:t xml:space="preserve"> wydziale </w:t>
      </w:r>
      <w:r w:rsidRPr="00B54BD7">
        <w:rPr>
          <w:rFonts w:ascii="Book Antiqua" w:hAnsi="Book Antiqua" w:cstheme="minorHAnsi"/>
          <w:sz w:val="24"/>
          <w:szCs w:val="24"/>
        </w:rPr>
        <w:t>cywilnym</w:t>
      </w:r>
      <w:r w:rsidRPr="00B54BD7">
        <w:rPr>
          <w:rFonts w:ascii="Book Antiqua" w:hAnsi="Book Antiqua"/>
          <w:sz w:val="24"/>
          <w:szCs w:val="24"/>
        </w:rPr>
        <w:t>, w którym rozpatrywane są sprawy w trybie nieprocesowym</w:t>
      </w:r>
    </w:p>
    <w:p w:rsidR="00BA042A" w:rsidRPr="00B54BD7" w:rsidRDefault="00BA042A" w:rsidP="00BA042A">
      <w:pPr>
        <w:spacing w:after="120" w:line="360" w:lineRule="auto"/>
        <w:ind w:firstLine="709"/>
        <w:jc w:val="both"/>
        <w:rPr>
          <w:rFonts w:ascii="Book Antiqua" w:hAnsi="Book Antiqua" w:cstheme="minorHAnsi"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t xml:space="preserve">Założeniem praktyki, co do zasady, jest zaznajomienie aplikantów z czynnościami i metodyką pracy sędziego oraz doskonalenie umiejętności wykorzystania wiedzy teoretycznej i znajomości orzecznictwa. Praktyka winna utrwalać wiedzę zdobytą podczas bezpośrednio poprzedzających ją zajęć seminaryjnych w ramach zjazdu. </w:t>
      </w:r>
    </w:p>
    <w:p w:rsidR="00BA042A" w:rsidRPr="00B54BD7" w:rsidRDefault="00BA042A" w:rsidP="00BA042A">
      <w:pPr>
        <w:spacing w:after="120" w:line="360" w:lineRule="auto"/>
        <w:ind w:firstLine="709"/>
        <w:jc w:val="both"/>
        <w:rPr>
          <w:rFonts w:ascii="Book Antiqua" w:hAnsi="Book Antiqua" w:cstheme="minorHAnsi"/>
          <w:sz w:val="24"/>
          <w:szCs w:val="24"/>
        </w:rPr>
      </w:pPr>
      <w:r w:rsidRPr="00B54BD7">
        <w:rPr>
          <w:rFonts w:ascii="Book Antiqua" w:eastAsia="Times New Roman" w:hAnsi="Book Antiqua" w:cstheme="minorHAnsi"/>
          <w:sz w:val="24"/>
          <w:szCs w:val="24"/>
        </w:rPr>
        <w:t xml:space="preserve">Patron praktyki ma obowiązek omówić z aplikantem cel, szczegółowy zakres tematyczny praktyki i jej planowany przebieg oraz zapoznać aplikanta ze swoim stanowiskiem pracy i strukturą organizacyjną jednostki, w której jest zatrudniony. </w:t>
      </w:r>
    </w:p>
    <w:p w:rsidR="00BA042A" w:rsidRPr="00B54BD7" w:rsidRDefault="00BA042A" w:rsidP="00BA042A">
      <w:pPr>
        <w:spacing w:after="120" w:line="360" w:lineRule="auto"/>
        <w:ind w:firstLine="709"/>
        <w:jc w:val="both"/>
        <w:rPr>
          <w:rFonts w:ascii="Book Antiqua" w:eastAsia="Times New Roman" w:hAnsi="Book Antiqua" w:cstheme="minorHAnsi"/>
          <w:sz w:val="24"/>
          <w:szCs w:val="24"/>
          <w:u w:val="single"/>
        </w:rPr>
      </w:pPr>
      <w:r w:rsidRPr="00B54BD7">
        <w:rPr>
          <w:rFonts w:ascii="Book Antiqua" w:eastAsia="Times New Roman" w:hAnsi="Book Antiqua" w:cstheme="minorHAnsi"/>
          <w:sz w:val="24"/>
          <w:szCs w:val="24"/>
        </w:rPr>
        <w:t xml:space="preserve">Patron praktyki powinien w pierwszej kolejności powierzać aplikantowi wykonanie czynności określonych </w:t>
      </w:r>
      <w:r w:rsidRPr="00B54BD7">
        <w:rPr>
          <w:rFonts w:ascii="Book Antiqua" w:hAnsi="Book Antiqua" w:cstheme="minorHAnsi"/>
          <w:noProof/>
          <w:sz w:val="24"/>
          <w:szCs w:val="24"/>
        </w:rPr>
        <w:t xml:space="preserve">w zaleceniach dotyczących przebiegu praktyki po zjeździe (czynności obowiązkowe), </w:t>
      </w:r>
      <w:r w:rsidRPr="00B54BD7">
        <w:rPr>
          <w:rFonts w:ascii="Book Antiqua" w:eastAsia="Times New Roman" w:hAnsi="Book Antiqua" w:cstheme="minorHAnsi"/>
          <w:sz w:val="24"/>
          <w:szCs w:val="24"/>
        </w:rPr>
        <w:t xml:space="preserve">udzielać aplikantowi wskazówek i pomocy przy wykonywaniu tych czynności oraz </w:t>
      </w:r>
      <w:r w:rsidRPr="00B54BD7">
        <w:rPr>
          <w:rFonts w:ascii="Book Antiqua" w:eastAsia="Times New Roman" w:hAnsi="Book Antiqua" w:cstheme="minorHAnsi"/>
          <w:sz w:val="24"/>
          <w:szCs w:val="24"/>
          <w:u w:val="single"/>
        </w:rPr>
        <w:t xml:space="preserve">kontrolować prawidłowość ich wykonania. </w:t>
      </w:r>
    </w:p>
    <w:p w:rsidR="00BA042A" w:rsidRPr="00B54BD7" w:rsidRDefault="00BA042A" w:rsidP="00BA042A">
      <w:pPr>
        <w:spacing w:after="120" w:line="360" w:lineRule="auto"/>
        <w:ind w:firstLine="709"/>
        <w:jc w:val="both"/>
        <w:rPr>
          <w:rFonts w:ascii="Book Antiqua" w:hAnsi="Book Antiqua" w:cstheme="minorHAnsi"/>
          <w:b/>
          <w:sz w:val="24"/>
          <w:szCs w:val="24"/>
        </w:rPr>
      </w:pPr>
      <w:r w:rsidRPr="00B54BD7">
        <w:rPr>
          <w:rFonts w:ascii="Book Antiqua" w:hAnsi="Book Antiqua" w:cstheme="minorHAnsi"/>
          <w:b/>
          <w:sz w:val="24"/>
          <w:szCs w:val="24"/>
        </w:rPr>
        <w:t xml:space="preserve">Po wykonaniu czynności przez aplikanta należy szczegółowo omówić z nim rezultaty jego pracy, w tym ewentualne uchybienia. </w:t>
      </w:r>
    </w:p>
    <w:p w:rsidR="00BA042A" w:rsidRPr="00B54BD7" w:rsidRDefault="00BA042A" w:rsidP="00BA042A">
      <w:pPr>
        <w:spacing w:after="120" w:line="360" w:lineRule="auto"/>
        <w:ind w:firstLine="709"/>
        <w:jc w:val="both"/>
        <w:rPr>
          <w:rFonts w:ascii="Book Antiqua" w:hAnsi="Book Antiqua" w:cstheme="minorHAnsi"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lastRenderedPageBreak/>
        <w:t xml:space="preserve">Zaleca się angażowanie aplikanta w czynności, o których mowa w art. 45 § 3 </w:t>
      </w:r>
      <w:r w:rsidRPr="00B54BD7">
        <w:rPr>
          <w:rFonts w:ascii="Book Antiqua" w:hAnsi="Book Antiqua" w:cstheme="minorHAnsi"/>
          <w:bCs/>
          <w:sz w:val="24"/>
          <w:szCs w:val="24"/>
        </w:rPr>
        <w:t>ustawy z dnia 27 lipca 2001 r. Prawo o ustroju sądów powszechnych.</w:t>
      </w:r>
    </w:p>
    <w:p w:rsidR="00BA042A" w:rsidRPr="00B54BD7" w:rsidRDefault="00BA042A" w:rsidP="00BA042A">
      <w:pPr>
        <w:spacing w:after="0" w:line="360" w:lineRule="auto"/>
        <w:ind w:firstLine="709"/>
        <w:jc w:val="both"/>
        <w:rPr>
          <w:rFonts w:ascii="Book Antiqua" w:eastAsia="Times New Roman" w:hAnsi="Book Antiqua" w:cstheme="minorHAnsi"/>
          <w:sz w:val="24"/>
          <w:szCs w:val="24"/>
        </w:rPr>
      </w:pPr>
      <w:r w:rsidRPr="00B54BD7">
        <w:rPr>
          <w:rFonts w:ascii="Book Antiqua" w:eastAsia="Times New Roman" w:hAnsi="Book Antiqua" w:cstheme="minorHAnsi"/>
          <w:sz w:val="24"/>
          <w:szCs w:val="24"/>
        </w:rPr>
        <w:t xml:space="preserve">Uprzejmie proszę o zapoznanie się </w:t>
      </w:r>
      <w:r w:rsidRPr="00B54BD7">
        <w:rPr>
          <w:rFonts w:ascii="Book Antiqua" w:eastAsia="Times New Roman" w:hAnsi="Book Antiqua" w:cstheme="minorHAnsi"/>
          <w:b/>
          <w:sz w:val="24"/>
          <w:szCs w:val="24"/>
        </w:rPr>
        <w:t>z zarządzeniem Dyrektora Krajowej Szkoły Sądownictwa i Prokuratury Nr 539/2021 z dnia 27 października 2021 r. w sprawie szczegółowych zasad odbywania praktyk przez aplikantów aplikacji sędziowskiej i aplikacji prokuratorskie</w:t>
      </w:r>
      <w:r w:rsidRPr="00B54BD7">
        <w:rPr>
          <w:rFonts w:ascii="Book Antiqua" w:eastAsia="Times New Roman" w:hAnsi="Book Antiqua" w:cstheme="minorHAnsi"/>
          <w:sz w:val="24"/>
          <w:szCs w:val="24"/>
        </w:rPr>
        <w:t>j, które znajduje się na stronie internetowej Krajowej Szkoły Sądownictwa i Prokuratury pod adresem</w:t>
      </w:r>
      <w:r w:rsidRPr="00B54BD7">
        <w:rPr>
          <w:rFonts w:ascii="Book Antiqua" w:hAnsi="Book Antiqua" w:cstheme="minorHAnsi"/>
          <w:sz w:val="24"/>
          <w:szCs w:val="24"/>
        </w:rPr>
        <w:t xml:space="preserve"> </w:t>
      </w:r>
      <w:hyperlink r:id="rId5" w:history="1">
        <w:r w:rsidRPr="00B54BD7">
          <w:rPr>
            <w:rStyle w:val="Hipercze"/>
            <w:rFonts w:ascii="Book Antiqua" w:eastAsia="Times New Roman" w:hAnsi="Book Antiqua" w:cstheme="minorHAnsi"/>
            <w:sz w:val="24"/>
            <w:szCs w:val="24"/>
          </w:rPr>
          <w:t>https://www.kssip.gov.pl/node/7958.</w:t>
        </w:r>
      </w:hyperlink>
      <w:r w:rsidRPr="00B54BD7">
        <w:rPr>
          <w:rFonts w:ascii="Book Antiqua" w:eastAsia="Times New Roman" w:hAnsi="Book Antiqua" w:cstheme="minorHAnsi"/>
          <w:sz w:val="24"/>
          <w:szCs w:val="24"/>
        </w:rPr>
        <w:tab/>
      </w:r>
    </w:p>
    <w:p w:rsidR="00BA042A" w:rsidRPr="00B54BD7" w:rsidRDefault="00BA042A" w:rsidP="00BA042A">
      <w:pPr>
        <w:spacing w:after="0" w:line="240" w:lineRule="auto"/>
        <w:ind w:firstLine="709"/>
        <w:jc w:val="both"/>
        <w:rPr>
          <w:rFonts w:ascii="Book Antiqua" w:eastAsia="Times New Roman" w:hAnsi="Book Antiqua" w:cstheme="minorHAnsi"/>
          <w:sz w:val="24"/>
          <w:szCs w:val="24"/>
        </w:rPr>
      </w:pPr>
    </w:p>
    <w:p w:rsidR="00BA042A" w:rsidRPr="00B54BD7" w:rsidRDefault="00BA042A" w:rsidP="00BA042A">
      <w:pPr>
        <w:spacing w:after="120" w:line="360" w:lineRule="auto"/>
        <w:ind w:firstLine="709"/>
        <w:jc w:val="both"/>
        <w:rPr>
          <w:rFonts w:ascii="Book Antiqua" w:eastAsia="Times New Roman" w:hAnsi="Book Antiqua" w:cstheme="minorHAnsi"/>
          <w:sz w:val="24"/>
          <w:szCs w:val="24"/>
        </w:rPr>
      </w:pPr>
      <w:r w:rsidRPr="00B54BD7">
        <w:rPr>
          <w:rFonts w:ascii="Book Antiqua" w:hAnsi="Book Antiqua" w:cstheme="minorHAnsi"/>
          <w:b/>
          <w:sz w:val="24"/>
          <w:szCs w:val="24"/>
        </w:rPr>
        <w:t xml:space="preserve">Przedmiotem 22 zjazdu jest </w:t>
      </w:r>
      <w:r w:rsidRPr="00B54BD7">
        <w:rPr>
          <w:rFonts w:ascii="Book Antiqua" w:hAnsi="Book Antiqua" w:cstheme="minorHAnsi"/>
          <w:b/>
          <w:bCs/>
          <w:sz w:val="24"/>
          <w:szCs w:val="24"/>
        </w:rPr>
        <w:t>prawo rzeczowe i postępowanie nieprocesowe.</w:t>
      </w:r>
    </w:p>
    <w:p w:rsidR="00BA042A" w:rsidRPr="00B54BD7" w:rsidRDefault="00BA042A" w:rsidP="00BA042A">
      <w:pPr>
        <w:spacing w:after="120" w:line="360" w:lineRule="auto"/>
        <w:ind w:firstLine="709"/>
        <w:jc w:val="both"/>
        <w:rPr>
          <w:rFonts w:ascii="Book Antiqua" w:hAnsi="Book Antiqua" w:cstheme="minorHAnsi"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t xml:space="preserve">W zakresie </w:t>
      </w:r>
      <w:r w:rsidRPr="00B54BD7">
        <w:rPr>
          <w:rFonts w:ascii="Book Antiqua" w:hAnsi="Book Antiqua" w:cstheme="minorHAnsi"/>
          <w:b/>
          <w:sz w:val="24"/>
          <w:szCs w:val="24"/>
        </w:rPr>
        <w:t>prawa materialnego</w:t>
      </w:r>
      <w:r w:rsidRPr="00B54BD7">
        <w:rPr>
          <w:rFonts w:ascii="Book Antiqua" w:hAnsi="Book Antiqua" w:cstheme="minorHAnsi"/>
          <w:sz w:val="24"/>
          <w:szCs w:val="24"/>
        </w:rPr>
        <w:t xml:space="preserve"> należy poświęcić szczególną uwagę zagadnieniem prawa cywilnego, które obejmują:</w:t>
      </w:r>
    </w:p>
    <w:p w:rsidR="00BA042A" w:rsidRPr="00B54BD7" w:rsidRDefault="00BA042A" w:rsidP="00BA042A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Book Antiqua" w:eastAsia="Andale Sans UI" w:hAnsi="Book Antiqua" w:cstheme="minorHAnsi"/>
          <w:kern w:val="3"/>
          <w:sz w:val="24"/>
          <w:szCs w:val="24"/>
        </w:rPr>
      </w:pPr>
      <w:r w:rsidRPr="00B54BD7">
        <w:rPr>
          <w:rFonts w:ascii="Book Antiqua" w:eastAsia="Andale Sans UI" w:hAnsi="Book Antiqua" w:cstheme="minorHAnsi"/>
          <w:kern w:val="3"/>
          <w:sz w:val="24"/>
          <w:szCs w:val="24"/>
        </w:rPr>
        <w:t xml:space="preserve">zasiedzenie własności nieruchomości (przesłanki zasiedzenia; zasiedzenie ułamkowego udziału w nieruchomości a zasiedzenie części nieruchomości; nabycie w drodze zasiedzenia własności nieruchomości przez małżonków; zasiedzenie nieruchomości, która w okresie biegu zasiedzenia stanowiła własność Skarbu Państwa oraz materialnoprawne skutki komunalizacji takiej nieruchomości w okresie biegu zasiedzenia; stosowanie w sprawach o zasiedzenie przepisów obowiązujących w różnych częściach kraju przed unifikacją prawa rzeczowego (BGB, ABGB, Kodeks Napoleona) i przepisów dekretu z dnia 11 października 1946 r. - Prawo rzeczowe oraz przepisów intertemporalnych); </w:t>
      </w:r>
    </w:p>
    <w:p w:rsidR="00BA042A" w:rsidRPr="00B54BD7" w:rsidRDefault="00BA042A" w:rsidP="00BA042A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Book Antiqua" w:eastAsia="Andale Sans UI" w:hAnsi="Book Antiqua" w:cstheme="minorHAnsi"/>
          <w:kern w:val="3"/>
          <w:sz w:val="24"/>
          <w:szCs w:val="24"/>
        </w:rPr>
      </w:pPr>
      <w:r w:rsidRPr="00B54BD7">
        <w:rPr>
          <w:rFonts w:ascii="Book Antiqua" w:eastAsia="Andale Sans UI" w:hAnsi="Book Antiqua" w:cstheme="minorHAnsi"/>
          <w:kern w:val="3"/>
          <w:sz w:val="24"/>
          <w:szCs w:val="24"/>
        </w:rPr>
        <w:t>uwłaszczenie</w:t>
      </w:r>
      <w:r w:rsidRPr="00B54BD7">
        <w:rPr>
          <w:rFonts w:ascii="Book Antiqua" w:hAnsi="Book Antiqua" w:cstheme="minorHAnsi"/>
          <w:sz w:val="24"/>
          <w:szCs w:val="24"/>
        </w:rPr>
        <w:t xml:space="preserve"> </w:t>
      </w:r>
      <w:r w:rsidRPr="00B54BD7">
        <w:rPr>
          <w:rFonts w:ascii="Book Antiqua" w:eastAsia="Andale Sans UI" w:hAnsi="Book Antiqua" w:cstheme="minorHAnsi"/>
          <w:kern w:val="3"/>
          <w:sz w:val="24"/>
          <w:szCs w:val="24"/>
        </w:rPr>
        <w:t>na podstawie ustawy z dnia 27 października 1971 r. o uregulowaniu własności gospodarstw rolnych;</w:t>
      </w:r>
    </w:p>
    <w:p w:rsidR="00BA042A" w:rsidRPr="00B54BD7" w:rsidRDefault="00BA042A" w:rsidP="00BA042A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Book Antiqua" w:eastAsia="Andale Sans UI" w:hAnsi="Book Antiqua" w:cstheme="minorHAnsi"/>
          <w:kern w:val="3"/>
          <w:sz w:val="24"/>
          <w:szCs w:val="24"/>
        </w:rPr>
      </w:pPr>
      <w:r w:rsidRPr="00B54BD7">
        <w:rPr>
          <w:rFonts w:ascii="Book Antiqua" w:eastAsia="Andale Sans UI" w:hAnsi="Book Antiqua" w:cstheme="minorHAnsi"/>
          <w:kern w:val="3"/>
          <w:sz w:val="24"/>
          <w:szCs w:val="24"/>
        </w:rPr>
        <w:t>rozgraniczenie nieruchomości;</w:t>
      </w:r>
    </w:p>
    <w:p w:rsidR="00BA042A" w:rsidRPr="00B54BD7" w:rsidRDefault="00BA042A" w:rsidP="00BA042A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Book Antiqua" w:eastAsia="Andale Sans UI" w:hAnsi="Book Antiqua" w:cstheme="minorHAnsi"/>
          <w:kern w:val="3"/>
          <w:sz w:val="24"/>
          <w:szCs w:val="24"/>
        </w:rPr>
      </w:pPr>
      <w:r w:rsidRPr="00B54BD7">
        <w:rPr>
          <w:rFonts w:ascii="Book Antiqua" w:eastAsia="Andale Sans UI" w:hAnsi="Book Antiqua" w:cstheme="minorHAnsi"/>
          <w:kern w:val="3"/>
          <w:sz w:val="24"/>
          <w:szCs w:val="24"/>
        </w:rPr>
        <w:t xml:space="preserve">współwłasność (uprawnienia i obowiązki współwłaścicieli; podział </w:t>
      </w:r>
      <w:proofErr w:type="spellStart"/>
      <w:r w:rsidRPr="00B54BD7">
        <w:rPr>
          <w:rFonts w:ascii="Book Antiqua" w:eastAsia="Andale Sans UI" w:hAnsi="Book Antiqua" w:cstheme="minorHAnsi"/>
          <w:i/>
          <w:kern w:val="3"/>
          <w:sz w:val="24"/>
          <w:szCs w:val="24"/>
        </w:rPr>
        <w:t>quoad</w:t>
      </w:r>
      <w:proofErr w:type="spellEnd"/>
      <w:r w:rsidRPr="00B54BD7">
        <w:rPr>
          <w:rFonts w:ascii="Book Antiqua" w:eastAsia="Andale Sans UI" w:hAnsi="Book Antiqua" w:cstheme="minorHAnsi"/>
          <w:i/>
          <w:kern w:val="3"/>
          <w:sz w:val="24"/>
          <w:szCs w:val="24"/>
        </w:rPr>
        <w:t xml:space="preserve"> usum</w:t>
      </w:r>
      <w:r w:rsidRPr="00B54BD7">
        <w:rPr>
          <w:rFonts w:ascii="Book Antiqua" w:eastAsia="Andale Sans UI" w:hAnsi="Book Antiqua" w:cstheme="minorHAnsi"/>
          <w:kern w:val="3"/>
          <w:sz w:val="24"/>
          <w:szCs w:val="24"/>
        </w:rPr>
        <w:t>; zarząd rzeczą wspólną, rozróżnienie czynności zwykłego zarządu i czynności przekraczających zakres zwykłego zarządu; wyznaczenie zarządcy przez sąd - art. 203 k.c.);</w:t>
      </w:r>
    </w:p>
    <w:p w:rsidR="00BA042A" w:rsidRPr="00B54BD7" w:rsidRDefault="00BA042A" w:rsidP="00BA042A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Book Antiqua" w:eastAsia="Andale Sans UI" w:hAnsi="Book Antiqua" w:cstheme="minorHAnsi"/>
          <w:kern w:val="3"/>
          <w:sz w:val="24"/>
          <w:szCs w:val="24"/>
        </w:rPr>
      </w:pPr>
      <w:r w:rsidRPr="00B54BD7">
        <w:rPr>
          <w:rFonts w:ascii="Book Antiqua" w:eastAsia="Andale Sans UI" w:hAnsi="Book Antiqua" w:cstheme="minorHAnsi"/>
          <w:kern w:val="3"/>
          <w:sz w:val="24"/>
          <w:szCs w:val="24"/>
        </w:rPr>
        <w:t xml:space="preserve">służebności i inne ograniczone prawa rzeczowe, w tym w szczególności służebność drogi koniecznej i służebność </w:t>
      </w:r>
      <w:proofErr w:type="spellStart"/>
      <w:r w:rsidRPr="00B54BD7">
        <w:rPr>
          <w:rFonts w:ascii="Book Antiqua" w:eastAsia="Andale Sans UI" w:hAnsi="Book Antiqua" w:cstheme="minorHAnsi"/>
          <w:kern w:val="3"/>
          <w:sz w:val="24"/>
          <w:szCs w:val="24"/>
        </w:rPr>
        <w:t>przesyłu</w:t>
      </w:r>
      <w:proofErr w:type="spellEnd"/>
      <w:r w:rsidRPr="00B54BD7">
        <w:rPr>
          <w:rFonts w:ascii="Book Antiqua" w:eastAsia="Andale Sans UI" w:hAnsi="Book Antiqua" w:cstheme="minorHAnsi"/>
          <w:kern w:val="3"/>
          <w:sz w:val="24"/>
          <w:szCs w:val="24"/>
        </w:rPr>
        <w:t>, zasiedzenie służebności.</w:t>
      </w:r>
    </w:p>
    <w:p w:rsidR="00BA042A" w:rsidRPr="00B54BD7" w:rsidRDefault="00BA042A" w:rsidP="00BA042A">
      <w:pPr>
        <w:spacing w:after="120" w:line="360" w:lineRule="auto"/>
        <w:ind w:firstLine="709"/>
        <w:jc w:val="both"/>
        <w:rPr>
          <w:rFonts w:ascii="Book Antiqua" w:hAnsi="Book Antiqua" w:cstheme="minorHAnsi"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lastRenderedPageBreak/>
        <w:t xml:space="preserve">Nadto patron praktyki oraz patron koordynator powinni zapewnić, aby w toku praktyki aplikanci zapoznali się z istotą postępowania nieprocesowego, a przede wszystkim z odrębnościami tego postępowania w stosunku do procesu. Koniecznym jest zatem </w:t>
      </w:r>
      <w:r w:rsidRPr="00B54BD7">
        <w:rPr>
          <w:rFonts w:ascii="Book Antiqua" w:hAnsi="Book Antiqua" w:cstheme="minorHAnsi"/>
          <w:b/>
          <w:sz w:val="24"/>
          <w:szCs w:val="24"/>
        </w:rPr>
        <w:t>zaznajomienie aplikantów ze specyfiką postępowania nieprocesowego</w:t>
      </w:r>
      <w:r w:rsidRPr="00B54BD7">
        <w:rPr>
          <w:rFonts w:ascii="Book Antiqua" w:hAnsi="Book Antiqua" w:cstheme="minorHAnsi"/>
          <w:sz w:val="24"/>
          <w:szCs w:val="24"/>
        </w:rPr>
        <w:t xml:space="preserve"> na przykładach najczęściej spotykanych spraw z zakresu prawa rzeczowego. Wśród zagadnień z tego zakresu należy zwrócić uwagę zwłaszcza na kwestie takie, jak:</w:t>
      </w:r>
    </w:p>
    <w:p w:rsidR="00BA042A" w:rsidRPr="00B54BD7" w:rsidRDefault="00BA042A" w:rsidP="00BA042A">
      <w:pPr>
        <w:pStyle w:val="Akapitzlist"/>
        <w:widowControl w:val="0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Book Antiqua" w:hAnsi="Book Antiqua" w:cstheme="minorHAnsi"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t>wymogi formalne wniosku o wszczęcie postępowania nieprocesowego;</w:t>
      </w:r>
    </w:p>
    <w:p w:rsidR="00BA042A" w:rsidRPr="00B54BD7" w:rsidRDefault="00BA042A" w:rsidP="00BA042A">
      <w:pPr>
        <w:pStyle w:val="Akapitzlist"/>
        <w:widowControl w:val="0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Book Antiqua" w:hAnsi="Book Antiqua" w:cstheme="minorHAnsi"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t>właściwość miejscowa sądu; uczestnicy postępowania nieprocesowego, pojęcie „zainteresowanego” (art. 510 § 1 k.p.c.);</w:t>
      </w:r>
    </w:p>
    <w:p w:rsidR="00BA042A" w:rsidRPr="00B54BD7" w:rsidRDefault="00BA042A" w:rsidP="00BA042A">
      <w:pPr>
        <w:pStyle w:val="Akapitzlist"/>
        <w:widowControl w:val="0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Book Antiqua" w:hAnsi="Book Antiqua" w:cstheme="minorHAnsi"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t>czynności sądu podejmowane z urzędu (np. wezwanie zainteresowanego do udziału w sprawie, a w razie potrzeby ustanowienie dla niego kuratora – art. 510 § 2 k.p.c.);</w:t>
      </w:r>
    </w:p>
    <w:p w:rsidR="00BA042A" w:rsidRPr="00B54BD7" w:rsidRDefault="00BA042A" w:rsidP="00BA042A">
      <w:pPr>
        <w:pStyle w:val="Akapitzlist"/>
        <w:widowControl w:val="0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Book Antiqua" w:hAnsi="Book Antiqua" w:cstheme="minorHAnsi"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t xml:space="preserve">możliwość wezwania zainteresowanych do udziału w sprawie przez ogłoszenie; </w:t>
      </w:r>
    </w:p>
    <w:p w:rsidR="00BA042A" w:rsidRPr="00B54BD7" w:rsidRDefault="00BA042A" w:rsidP="00BA042A">
      <w:pPr>
        <w:pStyle w:val="Akapitzlist"/>
        <w:widowControl w:val="0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Book Antiqua" w:hAnsi="Book Antiqua" w:cstheme="minorHAnsi"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t>rozprawa a posiedzenie jawne niebędące rozprawą, możliwość oddalenia wniosku na posiedzeniu niejawnym (art. 514 § 2 k.p.c.);</w:t>
      </w:r>
    </w:p>
    <w:p w:rsidR="00BA042A" w:rsidRPr="00B54BD7" w:rsidRDefault="00BA042A" w:rsidP="00BA042A">
      <w:pPr>
        <w:pStyle w:val="Akapitzlist"/>
        <w:widowControl w:val="0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Book Antiqua" w:hAnsi="Book Antiqua" w:cstheme="minorHAnsi"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t>rodzaje orzeczeń co do istoty sprawy, postanowienie wstępne, postanowienie częściowe, postanowienie uzupełniające; koszty postępowania nieprocesowego;</w:t>
      </w:r>
    </w:p>
    <w:p w:rsidR="00BA042A" w:rsidRPr="00B54BD7" w:rsidRDefault="00BA042A" w:rsidP="00BA042A">
      <w:pPr>
        <w:pStyle w:val="Akapitzlist"/>
        <w:widowControl w:val="0"/>
        <w:numPr>
          <w:ilvl w:val="0"/>
          <w:numId w:val="2"/>
        </w:numPr>
        <w:spacing w:after="120" w:line="360" w:lineRule="auto"/>
        <w:jc w:val="both"/>
        <w:rPr>
          <w:rFonts w:ascii="Book Antiqua" w:hAnsi="Book Antiqua" w:cstheme="minorHAnsi"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t>wznowienie postępowania nieprocesowego.</w:t>
      </w:r>
    </w:p>
    <w:p w:rsidR="00BA042A" w:rsidRPr="00B54BD7" w:rsidRDefault="00BA042A" w:rsidP="00BA042A">
      <w:pPr>
        <w:spacing w:after="120" w:line="360" w:lineRule="auto"/>
        <w:ind w:firstLine="708"/>
        <w:jc w:val="both"/>
        <w:rPr>
          <w:rFonts w:ascii="Book Antiqua" w:hAnsi="Book Antiqua" w:cstheme="minorHAnsi"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t xml:space="preserve">Szczególną uwagę należy poświęcić zagadnieniom procesowych i technicznych aspektów postępowania dowodowego, z uwzględnieniem sposobu redagowania </w:t>
      </w:r>
      <w:r w:rsidRPr="00B54BD7">
        <w:rPr>
          <w:rFonts w:ascii="Book Antiqua" w:hAnsi="Book Antiqua" w:cstheme="minorHAnsi"/>
          <w:b/>
          <w:sz w:val="24"/>
          <w:szCs w:val="24"/>
        </w:rPr>
        <w:t xml:space="preserve">postanowień dowodowych dopuszczających dowód z opinii biegłych </w:t>
      </w:r>
      <w:r w:rsidRPr="00B54BD7">
        <w:rPr>
          <w:rFonts w:ascii="Book Antiqua" w:hAnsi="Book Antiqua" w:cstheme="minorHAnsi"/>
          <w:sz w:val="24"/>
          <w:szCs w:val="24"/>
        </w:rPr>
        <w:t>różnych specjalności w sprawach z zakresu prawa rzeczowego oraz</w:t>
      </w:r>
      <w:r w:rsidRPr="00B54BD7">
        <w:rPr>
          <w:rFonts w:ascii="Book Antiqua" w:hAnsi="Book Antiqua" w:cstheme="minorHAnsi"/>
          <w:b/>
          <w:sz w:val="24"/>
          <w:szCs w:val="24"/>
        </w:rPr>
        <w:t xml:space="preserve"> redagowania orzeczeń </w:t>
      </w:r>
      <w:r w:rsidRPr="00B54BD7">
        <w:rPr>
          <w:rFonts w:ascii="Book Antiqua" w:hAnsi="Book Antiqua" w:cstheme="minorHAnsi"/>
          <w:sz w:val="24"/>
          <w:szCs w:val="24"/>
        </w:rPr>
        <w:t xml:space="preserve">w sprawach, w których integralną część orzeczenia stanowią opinie biegłych. </w:t>
      </w:r>
    </w:p>
    <w:p w:rsidR="00BA042A" w:rsidRPr="00B54BD7" w:rsidRDefault="00BA042A" w:rsidP="00BA042A">
      <w:pPr>
        <w:spacing w:after="120" w:line="360" w:lineRule="auto"/>
        <w:ind w:firstLine="708"/>
        <w:jc w:val="both"/>
        <w:rPr>
          <w:rFonts w:ascii="Book Antiqua" w:hAnsi="Book Antiqua" w:cstheme="minorHAnsi"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t xml:space="preserve">Należy też omówić zagadnienia związane z przeprowadzeniem </w:t>
      </w:r>
      <w:r w:rsidRPr="00B54BD7">
        <w:rPr>
          <w:rFonts w:ascii="Book Antiqua" w:hAnsi="Book Antiqua" w:cstheme="minorHAnsi"/>
          <w:b/>
          <w:sz w:val="24"/>
          <w:szCs w:val="24"/>
        </w:rPr>
        <w:t>dowodu z oględzin</w:t>
      </w:r>
      <w:r w:rsidRPr="00B54BD7">
        <w:rPr>
          <w:rFonts w:ascii="Book Antiqua" w:hAnsi="Book Antiqua" w:cstheme="minorHAnsi"/>
          <w:sz w:val="24"/>
          <w:szCs w:val="24"/>
        </w:rPr>
        <w:t xml:space="preserve"> nieruchomości (np. w sprawach o ustanowienie drogi koniecznej, o rozgraniczenie), ze sporządzeniem protokołu z tej czynności wraz z załącznikiem graficznym (ewentualnie także dokumentacją fotograficzną). </w:t>
      </w:r>
    </w:p>
    <w:p w:rsidR="00BA042A" w:rsidRPr="00B54BD7" w:rsidRDefault="00BA042A" w:rsidP="00BA042A">
      <w:pPr>
        <w:spacing w:after="120" w:line="360" w:lineRule="auto"/>
        <w:ind w:firstLine="708"/>
        <w:jc w:val="both"/>
        <w:rPr>
          <w:rFonts w:ascii="Book Antiqua" w:hAnsi="Book Antiqua" w:cstheme="minorHAnsi"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t xml:space="preserve">Celowym jest także zaznajomienie aplikantów </w:t>
      </w:r>
      <w:r w:rsidRPr="00B54BD7">
        <w:rPr>
          <w:rFonts w:ascii="Book Antiqua" w:hAnsi="Book Antiqua" w:cstheme="minorHAnsi"/>
          <w:b/>
          <w:sz w:val="24"/>
          <w:szCs w:val="24"/>
        </w:rPr>
        <w:t>z odczytywaniem map geodezyjnych</w:t>
      </w:r>
      <w:r w:rsidRPr="00B54BD7">
        <w:rPr>
          <w:rFonts w:ascii="Book Antiqua" w:hAnsi="Book Antiqua" w:cstheme="minorHAnsi"/>
          <w:sz w:val="24"/>
          <w:szCs w:val="24"/>
        </w:rPr>
        <w:t xml:space="preserve">, </w:t>
      </w:r>
      <w:r w:rsidRPr="00B54BD7">
        <w:rPr>
          <w:rFonts w:ascii="Book Antiqua" w:hAnsi="Book Antiqua" w:cstheme="minorHAnsi"/>
          <w:b/>
          <w:sz w:val="24"/>
          <w:szCs w:val="24"/>
        </w:rPr>
        <w:t>map sytuacyjno-wysokościowych oraz analizą odpisów z ksiąg wieczystych lub zbioru dokumentów</w:t>
      </w:r>
      <w:r w:rsidRPr="00B54BD7">
        <w:rPr>
          <w:rFonts w:ascii="Book Antiqua" w:hAnsi="Book Antiqua" w:cstheme="minorHAnsi"/>
          <w:sz w:val="24"/>
          <w:szCs w:val="24"/>
        </w:rPr>
        <w:t xml:space="preserve">.  </w:t>
      </w:r>
    </w:p>
    <w:p w:rsidR="00BA042A" w:rsidRPr="00B54BD7" w:rsidRDefault="00BA042A" w:rsidP="00BA042A">
      <w:pPr>
        <w:spacing w:after="0" w:line="360" w:lineRule="auto"/>
        <w:ind w:firstLine="709"/>
        <w:jc w:val="both"/>
        <w:rPr>
          <w:rFonts w:ascii="Book Antiqua" w:hAnsi="Book Antiqua" w:cstheme="minorHAnsi"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lastRenderedPageBreak/>
        <w:t xml:space="preserve">Przy pracy z aplikantami należy zwrócić uwagę na wszelkie techniczne aspekty przesłuchania świadków na gruncie, przy czym pożądanym byłoby, aby w trakcie praktyki aplikanci mogli uczestniczyć </w:t>
      </w:r>
      <w:r w:rsidRPr="00B54BD7">
        <w:rPr>
          <w:rFonts w:ascii="Book Antiqua" w:hAnsi="Book Antiqua" w:cstheme="minorHAnsi"/>
          <w:b/>
          <w:sz w:val="24"/>
          <w:szCs w:val="24"/>
        </w:rPr>
        <w:t>w czynnościach na gruncie</w:t>
      </w:r>
      <w:r w:rsidRPr="00B54BD7">
        <w:rPr>
          <w:rFonts w:ascii="Book Antiqua" w:hAnsi="Book Antiqua" w:cstheme="minorHAnsi"/>
          <w:sz w:val="24"/>
          <w:szCs w:val="24"/>
        </w:rPr>
        <w:t>.</w:t>
      </w:r>
    </w:p>
    <w:p w:rsidR="00BA042A" w:rsidRPr="00B54BD7" w:rsidRDefault="00BA042A" w:rsidP="00BA042A">
      <w:pPr>
        <w:pStyle w:val="Akapitzlist"/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</w:p>
    <w:p w:rsidR="00BA042A" w:rsidRPr="00B54BD7" w:rsidRDefault="00BA042A" w:rsidP="00BA042A">
      <w:pPr>
        <w:spacing w:after="120" w:line="360" w:lineRule="auto"/>
        <w:ind w:firstLine="709"/>
        <w:jc w:val="both"/>
        <w:rPr>
          <w:rFonts w:ascii="Book Antiqua" w:hAnsi="Book Antiqua" w:cstheme="minorHAnsi"/>
          <w:b/>
          <w:sz w:val="24"/>
          <w:szCs w:val="24"/>
          <w:u w:val="single"/>
        </w:rPr>
      </w:pPr>
      <w:r w:rsidRPr="00B54BD7">
        <w:rPr>
          <w:rFonts w:ascii="Book Antiqua" w:hAnsi="Book Antiqua" w:cstheme="minorHAnsi"/>
          <w:b/>
          <w:sz w:val="24"/>
          <w:szCs w:val="24"/>
          <w:u w:val="single"/>
        </w:rPr>
        <w:t>Czynności, które powinny zostać zlecone aplikantowi w trakcie praktyki (czynności obowiązkowe):</w:t>
      </w:r>
    </w:p>
    <w:p w:rsidR="00BA042A" w:rsidRPr="00B54BD7" w:rsidRDefault="00BA042A" w:rsidP="00BA042A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Book Antiqua" w:eastAsia="Times New Roman" w:hAnsi="Book Antiqua" w:cstheme="minorHAnsi"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t>sporządzenie co najmniej jednego projektu orzeczenia końcowego wraz z uzasadnieniem (oraz zarządzeniami)</w:t>
      </w:r>
      <w:r w:rsidRPr="00B54BD7">
        <w:rPr>
          <w:rFonts w:ascii="Book Antiqua" w:eastAsia="Times New Roman" w:hAnsi="Book Antiqua" w:cstheme="minorHAnsi"/>
          <w:sz w:val="24"/>
          <w:szCs w:val="24"/>
        </w:rPr>
        <w:t>:</w:t>
      </w:r>
    </w:p>
    <w:p w:rsidR="00BA042A" w:rsidRPr="00B54BD7" w:rsidRDefault="00BA042A" w:rsidP="00BA042A">
      <w:pPr>
        <w:pStyle w:val="Teksttreci60"/>
        <w:numPr>
          <w:ilvl w:val="0"/>
          <w:numId w:val="4"/>
        </w:numPr>
        <w:shd w:val="clear" w:color="auto" w:fill="auto"/>
        <w:tabs>
          <w:tab w:val="left" w:pos="1276"/>
          <w:tab w:val="left" w:leader="dot" w:pos="3810"/>
        </w:tabs>
        <w:spacing w:line="360" w:lineRule="auto"/>
        <w:ind w:left="993" w:hanging="284"/>
        <w:jc w:val="both"/>
        <w:rPr>
          <w:rFonts w:ascii="Book Antiqua" w:hAnsi="Book Antiqua" w:cstheme="minorHAnsi"/>
          <w:b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t xml:space="preserve">w sprawie o zasiedzenie nieruchomości lub udziału we współwłasności nieruchomości, </w:t>
      </w:r>
    </w:p>
    <w:p w:rsidR="00BA042A" w:rsidRPr="00B54BD7" w:rsidRDefault="00BA042A" w:rsidP="00BA042A">
      <w:pPr>
        <w:pStyle w:val="Teksttreci60"/>
        <w:numPr>
          <w:ilvl w:val="0"/>
          <w:numId w:val="4"/>
        </w:numPr>
        <w:shd w:val="clear" w:color="auto" w:fill="auto"/>
        <w:tabs>
          <w:tab w:val="left" w:pos="1276"/>
          <w:tab w:val="left" w:leader="dot" w:pos="3810"/>
        </w:tabs>
        <w:spacing w:line="360" w:lineRule="auto"/>
        <w:ind w:left="993" w:hanging="284"/>
        <w:jc w:val="both"/>
        <w:rPr>
          <w:rFonts w:ascii="Book Antiqua" w:hAnsi="Book Antiqua" w:cstheme="minorHAnsi"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t>w sprawie o zasiedzenie służebności,</w:t>
      </w:r>
    </w:p>
    <w:p w:rsidR="00BA042A" w:rsidRPr="00B54BD7" w:rsidRDefault="00BA042A" w:rsidP="00BA042A">
      <w:pPr>
        <w:pStyle w:val="Teksttreci60"/>
        <w:numPr>
          <w:ilvl w:val="0"/>
          <w:numId w:val="4"/>
        </w:numPr>
        <w:shd w:val="clear" w:color="auto" w:fill="auto"/>
        <w:tabs>
          <w:tab w:val="left" w:pos="1276"/>
          <w:tab w:val="left" w:leader="dot" w:pos="3810"/>
        </w:tabs>
        <w:spacing w:line="360" w:lineRule="auto"/>
        <w:ind w:left="993" w:hanging="284"/>
        <w:jc w:val="both"/>
        <w:rPr>
          <w:rFonts w:ascii="Book Antiqua" w:hAnsi="Book Antiqua" w:cstheme="minorHAnsi"/>
          <w:b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t>w sprawie o ustanowienie służebności,</w:t>
      </w:r>
    </w:p>
    <w:p w:rsidR="00BA042A" w:rsidRPr="00B54BD7" w:rsidRDefault="00BA042A" w:rsidP="00BA042A">
      <w:pPr>
        <w:pStyle w:val="Teksttreci60"/>
        <w:numPr>
          <w:ilvl w:val="0"/>
          <w:numId w:val="4"/>
        </w:numPr>
        <w:shd w:val="clear" w:color="auto" w:fill="auto"/>
        <w:tabs>
          <w:tab w:val="left" w:pos="1276"/>
          <w:tab w:val="left" w:leader="dot" w:pos="3810"/>
        </w:tabs>
        <w:spacing w:after="120" w:line="360" w:lineRule="auto"/>
        <w:ind w:left="993" w:hanging="284"/>
        <w:jc w:val="both"/>
        <w:rPr>
          <w:rFonts w:ascii="Book Antiqua" w:hAnsi="Book Antiqua" w:cstheme="minorHAnsi"/>
          <w:b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t>w sprawie</w:t>
      </w:r>
      <w:r w:rsidRPr="00B54BD7">
        <w:rPr>
          <w:rFonts w:ascii="Book Antiqua" w:eastAsia="Andale Sans UI" w:hAnsi="Book Antiqua" w:cstheme="minorHAnsi"/>
          <w:kern w:val="3"/>
          <w:sz w:val="24"/>
          <w:szCs w:val="24"/>
        </w:rPr>
        <w:t xml:space="preserve"> o podział </w:t>
      </w:r>
      <w:proofErr w:type="spellStart"/>
      <w:r w:rsidRPr="00B54BD7">
        <w:rPr>
          <w:rFonts w:ascii="Book Antiqua" w:eastAsia="Andale Sans UI" w:hAnsi="Book Antiqua" w:cstheme="minorHAnsi"/>
          <w:i/>
          <w:kern w:val="3"/>
          <w:sz w:val="24"/>
          <w:szCs w:val="24"/>
        </w:rPr>
        <w:t>quoad</w:t>
      </w:r>
      <w:proofErr w:type="spellEnd"/>
      <w:r w:rsidRPr="00B54BD7">
        <w:rPr>
          <w:rFonts w:ascii="Book Antiqua" w:eastAsia="Andale Sans UI" w:hAnsi="Book Antiqua" w:cstheme="minorHAnsi"/>
          <w:i/>
          <w:kern w:val="3"/>
          <w:sz w:val="24"/>
          <w:szCs w:val="24"/>
        </w:rPr>
        <w:t xml:space="preserve"> usum </w:t>
      </w:r>
      <w:r w:rsidRPr="00B54BD7">
        <w:rPr>
          <w:rFonts w:ascii="Book Antiqua" w:eastAsia="Andale Sans UI" w:hAnsi="Book Antiqua" w:cstheme="minorHAnsi"/>
          <w:kern w:val="3"/>
          <w:sz w:val="24"/>
          <w:szCs w:val="24"/>
        </w:rPr>
        <w:t>lub zarząd rzeczą wspólną lub o rozgraniczenie;</w:t>
      </w:r>
    </w:p>
    <w:p w:rsidR="00BA042A" w:rsidRPr="00B54BD7" w:rsidRDefault="00BA042A" w:rsidP="00BA042A">
      <w:pPr>
        <w:pStyle w:val="Teksttreci60"/>
        <w:numPr>
          <w:ilvl w:val="0"/>
          <w:numId w:val="3"/>
        </w:numPr>
        <w:shd w:val="clear" w:color="auto" w:fill="auto"/>
        <w:tabs>
          <w:tab w:val="left" w:leader="dot" w:pos="3810"/>
        </w:tabs>
        <w:spacing w:after="120" w:line="360" w:lineRule="auto"/>
        <w:jc w:val="both"/>
        <w:rPr>
          <w:rFonts w:ascii="Book Antiqua" w:hAnsi="Book Antiqua" w:cstheme="minorHAnsi"/>
          <w:sz w:val="24"/>
          <w:szCs w:val="24"/>
        </w:rPr>
      </w:pPr>
      <w:r w:rsidRPr="00B54BD7">
        <w:rPr>
          <w:rFonts w:ascii="Book Antiqua" w:hAnsi="Book Antiqua" w:cstheme="minorHAnsi"/>
          <w:sz w:val="24"/>
          <w:szCs w:val="24"/>
        </w:rPr>
        <w:t>sporządzenie projektu postanowienia dowodowego dotyczącego opinii biegłego lub biegłych, wraz z odpowiednimi zarządzeniami (w tym odezwą do biegłego):</w:t>
      </w:r>
    </w:p>
    <w:p w:rsidR="00BA042A" w:rsidRPr="00B54BD7" w:rsidRDefault="00BA042A" w:rsidP="00BA042A">
      <w:pPr>
        <w:pStyle w:val="Teksttreci60"/>
        <w:numPr>
          <w:ilvl w:val="0"/>
          <w:numId w:val="5"/>
        </w:numPr>
        <w:shd w:val="clear" w:color="auto" w:fill="auto"/>
        <w:tabs>
          <w:tab w:val="left" w:pos="1276"/>
          <w:tab w:val="left" w:leader="dot" w:pos="3810"/>
        </w:tabs>
        <w:spacing w:line="360" w:lineRule="auto"/>
        <w:ind w:left="993" w:hanging="284"/>
        <w:jc w:val="both"/>
        <w:rPr>
          <w:rFonts w:ascii="Book Antiqua" w:eastAsia="Andale Sans UI" w:hAnsi="Book Antiqua" w:cstheme="minorHAnsi"/>
          <w:kern w:val="3"/>
          <w:sz w:val="24"/>
          <w:szCs w:val="24"/>
        </w:rPr>
      </w:pPr>
      <w:r w:rsidRPr="00B54BD7">
        <w:rPr>
          <w:rFonts w:ascii="Book Antiqua" w:eastAsia="Andale Sans UI" w:hAnsi="Book Antiqua" w:cstheme="minorHAnsi"/>
          <w:kern w:val="3"/>
          <w:sz w:val="24"/>
          <w:szCs w:val="24"/>
        </w:rPr>
        <w:t xml:space="preserve"> w sprawie o zasiedzenie (w szczególności w celu sporządzenia mapy z projektem podziału nieruchomości), </w:t>
      </w:r>
    </w:p>
    <w:p w:rsidR="00BA042A" w:rsidRPr="00B54BD7" w:rsidRDefault="00BA042A" w:rsidP="00BA042A">
      <w:pPr>
        <w:pStyle w:val="Teksttreci60"/>
        <w:numPr>
          <w:ilvl w:val="0"/>
          <w:numId w:val="5"/>
        </w:numPr>
        <w:shd w:val="clear" w:color="auto" w:fill="auto"/>
        <w:tabs>
          <w:tab w:val="left" w:pos="1276"/>
          <w:tab w:val="left" w:leader="dot" w:pos="3810"/>
        </w:tabs>
        <w:spacing w:line="360" w:lineRule="auto"/>
        <w:ind w:left="992" w:hanging="284"/>
        <w:jc w:val="both"/>
        <w:rPr>
          <w:rFonts w:ascii="Book Antiqua" w:eastAsia="Andale Sans UI" w:hAnsi="Book Antiqua" w:cstheme="minorHAnsi"/>
          <w:kern w:val="3"/>
          <w:sz w:val="24"/>
          <w:szCs w:val="24"/>
        </w:rPr>
      </w:pPr>
      <w:r w:rsidRPr="00B54BD7">
        <w:rPr>
          <w:rFonts w:ascii="Book Antiqua" w:eastAsia="Andale Sans UI" w:hAnsi="Book Antiqua" w:cstheme="minorHAnsi"/>
          <w:kern w:val="3"/>
          <w:sz w:val="24"/>
          <w:szCs w:val="24"/>
        </w:rPr>
        <w:t xml:space="preserve"> w sprawie o ustanowienie służebności gruntowej, służebności </w:t>
      </w:r>
      <w:proofErr w:type="spellStart"/>
      <w:r w:rsidRPr="00B54BD7">
        <w:rPr>
          <w:rFonts w:ascii="Book Antiqua" w:eastAsia="Andale Sans UI" w:hAnsi="Book Antiqua" w:cstheme="minorHAnsi"/>
          <w:kern w:val="3"/>
          <w:sz w:val="24"/>
          <w:szCs w:val="24"/>
        </w:rPr>
        <w:t>przesyłu</w:t>
      </w:r>
      <w:proofErr w:type="spellEnd"/>
      <w:r w:rsidRPr="00B54BD7">
        <w:rPr>
          <w:rFonts w:ascii="Book Antiqua" w:eastAsia="Andale Sans UI" w:hAnsi="Book Antiqua" w:cstheme="minorHAnsi"/>
          <w:kern w:val="3"/>
          <w:sz w:val="24"/>
          <w:szCs w:val="24"/>
        </w:rPr>
        <w:t xml:space="preserve"> lub o rozgraniczenie.</w:t>
      </w:r>
    </w:p>
    <w:p w:rsidR="00BA042A" w:rsidRPr="00B54BD7" w:rsidRDefault="00BA042A" w:rsidP="00BA042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BA042A" w:rsidRPr="00B54BD7" w:rsidRDefault="00A03DCC" w:rsidP="00BA042A">
      <w:pPr>
        <w:tabs>
          <w:tab w:val="left" w:pos="720"/>
        </w:tabs>
        <w:spacing w:line="360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A03DCC">
        <w:rPr>
          <w:rFonts w:ascii="Book Antiqua" w:hAnsi="Book Antiqua"/>
          <w:sz w:val="24"/>
          <w:szCs w:val="24"/>
        </w:rPr>
        <w:t xml:space="preserve">Ponadto informuję, że </w:t>
      </w:r>
      <w:r>
        <w:rPr>
          <w:rFonts w:ascii="Book Antiqua" w:hAnsi="Book Antiqua"/>
          <w:sz w:val="24"/>
          <w:szCs w:val="24"/>
        </w:rPr>
        <w:t>po</w:t>
      </w:r>
      <w:r w:rsidRPr="00A03DCC">
        <w:rPr>
          <w:rFonts w:ascii="Book Antiqua" w:hAnsi="Book Antiqua"/>
          <w:sz w:val="24"/>
          <w:szCs w:val="24"/>
        </w:rPr>
        <w:t xml:space="preserve"> zakończeniu praktyki aplikanci odbędą </w:t>
      </w:r>
      <w:r>
        <w:rPr>
          <w:rFonts w:ascii="Book Antiqua" w:hAnsi="Book Antiqua"/>
          <w:sz w:val="24"/>
          <w:szCs w:val="24"/>
        </w:rPr>
        <w:t xml:space="preserve">również tygodniową </w:t>
      </w:r>
      <w:r w:rsidRPr="00A03DCC">
        <w:rPr>
          <w:rFonts w:ascii="Book Antiqua" w:hAnsi="Book Antiqua"/>
          <w:sz w:val="24"/>
          <w:szCs w:val="24"/>
        </w:rPr>
        <w:t xml:space="preserve">praktykę w </w:t>
      </w:r>
      <w:r w:rsidRPr="009125ED">
        <w:rPr>
          <w:rFonts w:ascii="Book Antiqua" w:eastAsia="Times New Roman" w:hAnsi="Book Antiqua" w:cstheme="minorHAnsi"/>
          <w:sz w:val="24"/>
          <w:szCs w:val="24"/>
        </w:rPr>
        <w:t xml:space="preserve">wydziale </w:t>
      </w:r>
      <w:r w:rsidRPr="009125ED">
        <w:rPr>
          <w:rFonts w:ascii="Book Antiqua" w:hAnsi="Book Antiqua"/>
          <w:sz w:val="24"/>
          <w:szCs w:val="24"/>
        </w:rPr>
        <w:t>ksiąg wieczystych</w:t>
      </w:r>
      <w:r w:rsidRPr="00A03DCC">
        <w:rPr>
          <w:rFonts w:ascii="Book Antiqua" w:hAnsi="Book Antiqua"/>
          <w:sz w:val="24"/>
          <w:szCs w:val="24"/>
        </w:rPr>
        <w:t xml:space="preserve">, a następnie pisać będą sprawdzian, którego przedmiotem będzie </w:t>
      </w:r>
      <w:r w:rsidR="00BA042A" w:rsidRPr="00B54BD7">
        <w:rPr>
          <w:rFonts w:ascii="Book Antiqua" w:hAnsi="Book Antiqua"/>
          <w:b/>
          <w:sz w:val="24"/>
          <w:szCs w:val="24"/>
        </w:rPr>
        <w:t>sporządzenie projektu postanowienia kończącego postępowanie w sprawie z zakresu prawa rzeczowego,</w:t>
      </w:r>
      <w:r w:rsidR="00BA042A" w:rsidRPr="00B54BD7">
        <w:rPr>
          <w:rFonts w:ascii="Book Antiqua" w:hAnsi="Book Antiqua"/>
          <w:sz w:val="24"/>
          <w:szCs w:val="24"/>
        </w:rPr>
        <w:t xml:space="preserve"> rozpatrywanej w trybie nieprocesowym, wraz z uzasadnieniem. Tak więc koniecznym jest zwrócenie szczególnej uwagi na nabycie przez aplikantów umiejętności samodzielnego opracowywania projektów orzeczeń wraz z uzasadnieniem w tego rodzaju sprawach. </w:t>
      </w:r>
    </w:p>
    <w:p w:rsidR="00BA042A" w:rsidRPr="00B54BD7" w:rsidRDefault="00BA042A" w:rsidP="00BA042A">
      <w:pPr>
        <w:tabs>
          <w:tab w:val="left" w:pos="720"/>
        </w:tabs>
        <w:spacing w:line="360" w:lineRule="auto"/>
        <w:ind w:firstLine="720"/>
        <w:jc w:val="both"/>
        <w:rPr>
          <w:rFonts w:ascii="Book Antiqua" w:hAnsi="Book Antiqua"/>
          <w:sz w:val="24"/>
          <w:szCs w:val="24"/>
        </w:rPr>
      </w:pPr>
    </w:p>
    <w:p w:rsidR="00BA042A" w:rsidRPr="00B54BD7" w:rsidRDefault="00BA042A" w:rsidP="00BA042A">
      <w:pPr>
        <w:spacing w:after="0" w:line="360" w:lineRule="auto"/>
        <w:ind w:left="3538"/>
        <w:jc w:val="center"/>
        <w:rPr>
          <w:rFonts w:ascii="Book Antiqua" w:eastAsia="Calibri" w:hAnsi="Book Antiqua"/>
          <w:sz w:val="24"/>
          <w:szCs w:val="24"/>
        </w:rPr>
      </w:pPr>
      <w:r w:rsidRPr="00B54BD7">
        <w:rPr>
          <w:rFonts w:ascii="Book Antiqua" w:eastAsia="Calibri" w:hAnsi="Book Antiqua"/>
          <w:sz w:val="24"/>
          <w:szCs w:val="24"/>
        </w:rPr>
        <w:lastRenderedPageBreak/>
        <w:t>Kierownik Działu Dydaktycznego OAS</w:t>
      </w:r>
    </w:p>
    <w:p w:rsidR="00BA042A" w:rsidRPr="00B54BD7" w:rsidRDefault="00BA042A" w:rsidP="00BA042A">
      <w:pPr>
        <w:spacing w:after="0" w:line="360" w:lineRule="auto"/>
        <w:ind w:left="3538"/>
        <w:jc w:val="center"/>
        <w:rPr>
          <w:rFonts w:ascii="Book Antiqua" w:eastAsia="Calibri" w:hAnsi="Book Antiqua"/>
          <w:sz w:val="24"/>
          <w:szCs w:val="24"/>
        </w:rPr>
      </w:pPr>
      <w:r w:rsidRPr="00B54BD7">
        <w:rPr>
          <w:rFonts w:ascii="Book Antiqua" w:eastAsia="Calibri" w:hAnsi="Book Antiqua"/>
          <w:sz w:val="24"/>
          <w:szCs w:val="24"/>
        </w:rPr>
        <w:t>Magdalena Nagaduś</w:t>
      </w:r>
    </w:p>
    <w:p w:rsidR="00BA042A" w:rsidRPr="00B54BD7" w:rsidRDefault="00BA042A" w:rsidP="00BA042A">
      <w:pPr>
        <w:spacing w:after="60" w:line="336" w:lineRule="auto"/>
        <w:ind w:left="3540"/>
        <w:jc w:val="center"/>
        <w:rPr>
          <w:rFonts w:ascii="Book Antiqua" w:eastAsia="Calibri" w:hAnsi="Book Antiqua"/>
          <w:sz w:val="24"/>
          <w:szCs w:val="24"/>
        </w:rPr>
      </w:pPr>
      <w:r w:rsidRPr="00B54BD7">
        <w:rPr>
          <w:rFonts w:ascii="Book Antiqua" w:eastAsia="Calibri" w:hAnsi="Book Antiqua"/>
          <w:sz w:val="24"/>
          <w:szCs w:val="24"/>
        </w:rPr>
        <w:t>sędzia</w:t>
      </w:r>
    </w:p>
    <w:p w:rsidR="00BA042A" w:rsidRPr="00B54BD7" w:rsidRDefault="00BA042A" w:rsidP="00BA042A">
      <w:pPr>
        <w:tabs>
          <w:tab w:val="left" w:pos="720"/>
        </w:tabs>
        <w:spacing w:line="360" w:lineRule="auto"/>
        <w:ind w:firstLine="720"/>
        <w:jc w:val="both"/>
        <w:rPr>
          <w:rFonts w:ascii="Book Antiqua" w:hAnsi="Book Antiqua"/>
          <w:sz w:val="24"/>
          <w:szCs w:val="24"/>
        </w:rPr>
      </w:pPr>
    </w:p>
    <w:p w:rsidR="00BA042A" w:rsidRPr="00B54BD7" w:rsidRDefault="00BA042A" w:rsidP="00BA042A">
      <w:pPr>
        <w:tabs>
          <w:tab w:val="left" w:pos="720"/>
        </w:tabs>
        <w:spacing w:line="360" w:lineRule="auto"/>
        <w:ind w:firstLine="720"/>
        <w:jc w:val="both"/>
        <w:rPr>
          <w:rFonts w:ascii="Book Antiqua" w:hAnsi="Book Antiqua"/>
          <w:sz w:val="24"/>
          <w:szCs w:val="24"/>
        </w:rPr>
      </w:pPr>
    </w:p>
    <w:p w:rsidR="00BA042A" w:rsidRPr="00B54BD7" w:rsidRDefault="00BA042A" w:rsidP="00BA042A">
      <w:pPr>
        <w:pStyle w:val="Teksttreci60"/>
        <w:shd w:val="clear" w:color="auto" w:fill="auto"/>
        <w:tabs>
          <w:tab w:val="left" w:leader="dot" w:pos="3805"/>
        </w:tabs>
        <w:spacing w:after="120" w:line="360" w:lineRule="auto"/>
        <w:ind w:left="992"/>
        <w:jc w:val="both"/>
        <w:rPr>
          <w:rFonts w:ascii="Book Antiqua" w:hAnsi="Book Antiqua" w:cstheme="minorHAnsi"/>
          <w:sz w:val="24"/>
          <w:szCs w:val="24"/>
        </w:rPr>
      </w:pPr>
    </w:p>
    <w:p w:rsidR="006233BF" w:rsidRPr="00B54BD7" w:rsidRDefault="006233BF" w:rsidP="00BA042A">
      <w:pPr>
        <w:tabs>
          <w:tab w:val="left" w:pos="1140"/>
        </w:tabs>
        <w:rPr>
          <w:rFonts w:ascii="Book Antiqua" w:hAnsi="Book Antiqua"/>
        </w:rPr>
      </w:pPr>
    </w:p>
    <w:sectPr w:rsidR="006233BF" w:rsidRPr="00B54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93601"/>
    <w:multiLevelType w:val="hybridMultilevel"/>
    <w:tmpl w:val="FD22884A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61A55"/>
    <w:multiLevelType w:val="hybridMultilevel"/>
    <w:tmpl w:val="5E183F70"/>
    <w:lvl w:ilvl="0" w:tplc="3C307E2E">
      <w:start w:val="1"/>
      <w:numFmt w:val="lowerLetter"/>
      <w:lvlText w:val="%1)"/>
      <w:lvlJc w:val="left"/>
      <w:pPr>
        <w:ind w:left="44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160" w:hanging="360"/>
      </w:pPr>
    </w:lvl>
    <w:lvl w:ilvl="2" w:tplc="0415001B">
      <w:start w:val="1"/>
      <w:numFmt w:val="lowerRoman"/>
      <w:lvlText w:val="%3."/>
      <w:lvlJc w:val="right"/>
      <w:pPr>
        <w:ind w:left="1880" w:hanging="180"/>
      </w:pPr>
    </w:lvl>
    <w:lvl w:ilvl="3" w:tplc="0415000F">
      <w:start w:val="1"/>
      <w:numFmt w:val="decimal"/>
      <w:lvlText w:val="%4."/>
      <w:lvlJc w:val="left"/>
      <w:pPr>
        <w:ind w:left="2600" w:hanging="360"/>
      </w:pPr>
    </w:lvl>
    <w:lvl w:ilvl="4" w:tplc="04150019">
      <w:start w:val="1"/>
      <w:numFmt w:val="lowerLetter"/>
      <w:lvlText w:val="%5."/>
      <w:lvlJc w:val="left"/>
      <w:pPr>
        <w:ind w:left="3320" w:hanging="360"/>
      </w:pPr>
    </w:lvl>
    <w:lvl w:ilvl="5" w:tplc="0415001B">
      <w:start w:val="1"/>
      <w:numFmt w:val="lowerRoman"/>
      <w:lvlText w:val="%6."/>
      <w:lvlJc w:val="right"/>
      <w:pPr>
        <w:ind w:left="4040" w:hanging="180"/>
      </w:pPr>
    </w:lvl>
    <w:lvl w:ilvl="6" w:tplc="0415000F">
      <w:start w:val="1"/>
      <w:numFmt w:val="decimal"/>
      <w:lvlText w:val="%7."/>
      <w:lvlJc w:val="left"/>
      <w:pPr>
        <w:ind w:left="4760" w:hanging="360"/>
      </w:pPr>
    </w:lvl>
    <w:lvl w:ilvl="7" w:tplc="04150019">
      <w:start w:val="1"/>
      <w:numFmt w:val="lowerLetter"/>
      <w:lvlText w:val="%8."/>
      <w:lvlJc w:val="left"/>
      <w:pPr>
        <w:ind w:left="5480" w:hanging="360"/>
      </w:pPr>
    </w:lvl>
    <w:lvl w:ilvl="8" w:tplc="0415001B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260F3B21"/>
    <w:multiLevelType w:val="hybridMultilevel"/>
    <w:tmpl w:val="17C0A2F2"/>
    <w:lvl w:ilvl="0" w:tplc="D192581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356CC9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E5533F"/>
    <w:multiLevelType w:val="hybridMultilevel"/>
    <w:tmpl w:val="49386328"/>
    <w:lvl w:ilvl="0" w:tplc="6B5E7FD6">
      <w:start w:val="1"/>
      <w:numFmt w:val="lowerLetter"/>
      <w:lvlText w:val="%1)"/>
      <w:lvlJc w:val="left"/>
      <w:pPr>
        <w:ind w:left="44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160" w:hanging="360"/>
      </w:pPr>
    </w:lvl>
    <w:lvl w:ilvl="2" w:tplc="0415001B">
      <w:start w:val="1"/>
      <w:numFmt w:val="lowerRoman"/>
      <w:lvlText w:val="%3."/>
      <w:lvlJc w:val="right"/>
      <w:pPr>
        <w:ind w:left="1880" w:hanging="180"/>
      </w:pPr>
    </w:lvl>
    <w:lvl w:ilvl="3" w:tplc="0415000F">
      <w:start w:val="1"/>
      <w:numFmt w:val="decimal"/>
      <w:lvlText w:val="%4."/>
      <w:lvlJc w:val="left"/>
      <w:pPr>
        <w:ind w:left="2600" w:hanging="360"/>
      </w:pPr>
    </w:lvl>
    <w:lvl w:ilvl="4" w:tplc="04150019">
      <w:start w:val="1"/>
      <w:numFmt w:val="lowerLetter"/>
      <w:lvlText w:val="%5."/>
      <w:lvlJc w:val="left"/>
      <w:pPr>
        <w:ind w:left="3320" w:hanging="360"/>
      </w:pPr>
    </w:lvl>
    <w:lvl w:ilvl="5" w:tplc="0415001B">
      <w:start w:val="1"/>
      <w:numFmt w:val="lowerRoman"/>
      <w:lvlText w:val="%6."/>
      <w:lvlJc w:val="right"/>
      <w:pPr>
        <w:ind w:left="4040" w:hanging="180"/>
      </w:pPr>
    </w:lvl>
    <w:lvl w:ilvl="6" w:tplc="0415000F">
      <w:start w:val="1"/>
      <w:numFmt w:val="decimal"/>
      <w:lvlText w:val="%7."/>
      <w:lvlJc w:val="left"/>
      <w:pPr>
        <w:ind w:left="4760" w:hanging="360"/>
      </w:pPr>
    </w:lvl>
    <w:lvl w:ilvl="7" w:tplc="04150019">
      <w:start w:val="1"/>
      <w:numFmt w:val="lowerLetter"/>
      <w:lvlText w:val="%8."/>
      <w:lvlJc w:val="left"/>
      <w:pPr>
        <w:ind w:left="5480" w:hanging="360"/>
      </w:pPr>
    </w:lvl>
    <w:lvl w:ilvl="8" w:tplc="0415001B">
      <w:start w:val="1"/>
      <w:numFmt w:val="lowerRoman"/>
      <w:lvlText w:val="%9."/>
      <w:lvlJc w:val="right"/>
      <w:pPr>
        <w:ind w:left="6200" w:hanging="180"/>
      </w:pPr>
    </w:lvl>
  </w:abstractNum>
  <w:abstractNum w:abstractNumId="4" w15:restartNumberingAfterBreak="0">
    <w:nsid w:val="67696231"/>
    <w:multiLevelType w:val="hybridMultilevel"/>
    <w:tmpl w:val="E64EEEEC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2A"/>
    <w:rsid w:val="003D1A69"/>
    <w:rsid w:val="006233BF"/>
    <w:rsid w:val="00A03DCC"/>
    <w:rsid w:val="00B54BD7"/>
    <w:rsid w:val="00B6320F"/>
    <w:rsid w:val="00BA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2EC8E-2DD2-47B9-AC89-A36A3C7E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42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A042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A042A"/>
    <w:pPr>
      <w:ind w:left="720"/>
      <w:contextualSpacing/>
    </w:pPr>
  </w:style>
  <w:style w:type="character" w:customStyle="1" w:styleId="Teksttreci6">
    <w:name w:val="Tekst treści (6)_"/>
    <w:basedOn w:val="Domylnaczcionkaakapitu"/>
    <w:link w:val="Teksttreci60"/>
    <w:locked/>
    <w:rsid w:val="00BA042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BA042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ssip.gov.pl/node/7958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1020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Nagaduś</dc:creator>
  <cp:keywords/>
  <dc:description/>
  <cp:lastModifiedBy>Monika Górecka</cp:lastModifiedBy>
  <cp:revision>2</cp:revision>
  <dcterms:created xsi:type="dcterms:W3CDTF">2025-11-17T09:52:00Z</dcterms:created>
  <dcterms:modified xsi:type="dcterms:W3CDTF">2025-11-17T09:52:00Z</dcterms:modified>
</cp:coreProperties>
</file>