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B6" w:rsidRDefault="00D93DB6" w:rsidP="00D93DB6">
      <w:pPr>
        <w:spacing w:before="120"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OAP-II.420.1.2018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0582">
        <w:rPr>
          <w:rFonts w:ascii="Times New Roman" w:hAnsi="Times New Roman"/>
          <w:sz w:val="24"/>
          <w:szCs w:val="24"/>
        </w:rPr>
        <w:t xml:space="preserve">               </w:t>
      </w:r>
      <w:r w:rsidR="009A10F1">
        <w:rPr>
          <w:rFonts w:ascii="Times New Roman" w:hAnsi="Times New Roman"/>
          <w:sz w:val="24"/>
          <w:szCs w:val="24"/>
        </w:rPr>
        <w:t xml:space="preserve">Kraków, dnia 17 stycznia </w:t>
      </w:r>
      <w:r>
        <w:rPr>
          <w:rFonts w:ascii="Times New Roman" w:hAnsi="Times New Roman"/>
          <w:sz w:val="24"/>
          <w:szCs w:val="24"/>
        </w:rPr>
        <w:t>2018 r.</w:t>
      </w:r>
    </w:p>
    <w:p w:rsidR="009A10F1" w:rsidRDefault="009A10F1" w:rsidP="00D93DB6">
      <w:pPr>
        <w:spacing w:before="480" w:after="480"/>
        <w:ind w:left="3969"/>
        <w:rPr>
          <w:rFonts w:ascii="Times New Roman" w:hAnsi="Times New Roman"/>
          <w:b/>
          <w:sz w:val="24"/>
          <w:szCs w:val="24"/>
        </w:rPr>
      </w:pPr>
    </w:p>
    <w:p w:rsidR="00D93DB6" w:rsidRPr="00BA0582" w:rsidRDefault="00D93DB6" w:rsidP="00D93DB6">
      <w:pPr>
        <w:spacing w:before="480" w:after="480"/>
        <w:ind w:left="3969"/>
        <w:rPr>
          <w:rFonts w:ascii="Times New Roman" w:hAnsi="Times New Roman"/>
          <w:b/>
          <w:sz w:val="24"/>
          <w:szCs w:val="24"/>
        </w:rPr>
      </w:pPr>
      <w:r w:rsidRPr="00BA0582">
        <w:rPr>
          <w:rFonts w:ascii="Times New Roman" w:hAnsi="Times New Roman"/>
          <w:b/>
          <w:sz w:val="24"/>
          <w:szCs w:val="24"/>
        </w:rPr>
        <w:t>Patroni Koordynatorzy</w:t>
      </w:r>
      <w:r w:rsidRPr="00BA0582">
        <w:rPr>
          <w:rFonts w:ascii="Times New Roman" w:hAnsi="Times New Roman"/>
          <w:b/>
          <w:sz w:val="24"/>
          <w:szCs w:val="24"/>
        </w:rPr>
        <w:br/>
        <w:t>oraz Patroni praktyk</w:t>
      </w:r>
      <w:r w:rsidRPr="00BA0582">
        <w:rPr>
          <w:rFonts w:ascii="Times New Roman" w:hAnsi="Times New Roman"/>
          <w:b/>
          <w:sz w:val="24"/>
          <w:szCs w:val="24"/>
        </w:rPr>
        <w:br/>
        <w:t>aplikantów aplikacji prokuratorskiej</w:t>
      </w:r>
    </w:p>
    <w:p w:rsidR="00BA0582" w:rsidRDefault="00BA0582" w:rsidP="00A06A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93DB6" w:rsidRPr="00BA0582" w:rsidRDefault="00D93DB6" w:rsidP="00A06A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0582">
        <w:rPr>
          <w:rFonts w:ascii="Times New Roman" w:hAnsi="Times New Roman"/>
          <w:b/>
          <w:i/>
          <w:sz w:val="24"/>
          <w:szCs w:val="24"/>
        </w:rPr>
        <w:t>Dot. praktyk IX rocznika aplikacji prokuratorskiej po I zjeździe</w:t>
      </w:r>
    </w:p>
    <w:p w:rsidR="00A06A50" w:rsidRDefault="00A06A50" w:rsidP="00A06A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93DB6" w:rsidRDefault="00D93DB6" w:rsidP="00A06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 5 zarządzenia Dyrektora Krajowej Szkoły Sądownictwa i Prokuratury w Krakowie Nr 131/2010 z dnia 19 listopada 2010 roku w sprawie szczegółowych zasad odbywania praktyki przez aplikantów aplikacji sędziowskiej, prokuratorskiej oraz ogólnej (tekst ujednolicony)</w:t>
      </w:r>
      <w:r w:rsidR="00CE1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uprzejmie przedstawiam szczegółowy zakres tematyczny, który winien być przedmiotem praktyk aplikantów aplikacji prokura</w:t>
      </w:r>
      <w:r w:rsidR="00E73913">
        <w:rPr>
          <w:rFonts w:ascii="Times New Roman" w:hAnsi="Times New Roman"/>
          <w:sz w:val="24"/>
          <w:szCs w:val="24"/>
        </w:rPr>
        <w:t>torskiej odbywanych od 12 do 30 marca</w:t>
      </w:r>
      <w:r>
        <w:rPr>
          <w:rFonts w:ascii="Times New Roman" w:hAnsi="Times New Roman"/>
          <w:sz w:val="24"/>
          <w:szCs w:val="24"/>
        </w:rPr>
        <w:t xml:space="preserve"> 2018 roku w prokuraturach rejonowych. </w:t>
      </w:r>
    </w:p>
    <w:p w:rsidR="00D93DB6" w:rsidRDefault="00D93DB6" w:rsidP="00A06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6E1A36" w:rsidRDefault="00E73913" w:rsidP="00A06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I</w:t>
      </w:r>
      <w:r w:rsidR="00D93DB6">
        <w:rPr>
          <w:rFonts w:ascii="Times New Roman" w:hAnsi="Times New Roman"/>
          <w:sz w:val="24"/>
          <w:szCs w:val="24"/>
        </w:rPr>
        <w:t xml:space="preserve"> zjazdu aplikacji prokuratorskiej</w:t>
      </w:r>
      <w:r w:rsidR="006E1A36">
        <w:rPr>
          <w:rFonts w:ascii="Times New Roman" w:hAnsi="Times New Roman"/>
          <w:sz w:val="24"/>
          <w:szCs w:val="24"/>
        </w:rPr>
        <w:t xml:space="preserve"> trwającego w dniach od 5 do 9 marca 2018 r.</w:t>
      </w:r>
      <w:r w:rsidR="00D93DB6">
        <w:rPr>
          <w:rFonts w:ascii="Times New Roman" w:hAnsi="Times New Roman"/>
          <w:sz w:val="24"/>
          <w:szCs w:val="24"/>
        </w:rPr>
        <w:t xml:space="preserve"> jest</w:t>
      </w:r>
      <w:r w:rsidR="006E1A36">
        <w:rPr>
          <w:rFonts w:ascii="Times New Roman" w:hAnsi="Times New Roman"/>
          <w:sz w:val="24"/>
          <w:szCs w:val="24"/>
        </w:rPr>
        <w:t>:</w:t>
      </w:r>
    </w:p>
    <w:p w:rsidR="006E1A36" w:rsidRPr="006E1A36" w:rsidRDefault="00E73913" w:rsidP="00A06A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A36">
        <w:rPr>
          <w:rFonts w:ascii="Times New Roman" w:hAnsi="Times New Roman"/>
          <w:sz w:val="24"/>
          <w:szCs w:val="24"/>
        </w:rPr>
        <w:t>ustrój prokuratury, sądownictwa oraz wybranych organów kontroli państwowej, ochrony prawnej i ochrony porządku publicznego (w tym zagadnienia dotyczące ustroju prokuratury i sądownictwa oraz przekrojowe omówienie regulacji prawnych dotyczących NIK, RPO, a także Policji oraz innych najważniejszych organów ochrony porządku publicznego</w:t>
      </w:r>
      <w:r w:rsidRPr="006E1A36">
        <w:rPr>
          <w:rFonts w:ascii="Times New Roman" w:hAnsi="Times New Roman"/>
          <w:kern w:val="144"/>
          <w:sz w:val="24"/>
          <w:szCs w:val="24"/>
        </w:rPr>
        <w:t xml:space="preserve">), </w:t>
      </w:r>
    </w:p>
    <w:p w:rsidR="006E1A36" w:rsidRPr="006E1A36" w:rsidRDefault="0045000B" w:rsidP="00A06A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A36">
        <w:rPr>
          <w:rFonts w:ascii="Times New Roman" w:hAnsi="Times New Roman"/>
          <w:kern w:val="144"/>
          <w:sz w:val="24"/>
          <w:szCs w:val="24"/>
        </w:rPr>
        <w:t>biurowość prokuratorska (w tym zasady współpracy z sekretariatem, sporządzania dokumentacji, prowadzenia repertoriów, sprawozdawczości itp.)</w:t>
      </w:r>
      <w:r w:rsidR="00CE1DE8">
        <w:rPr>
          <w:rFonts w:ascii="Times New Roman" w:hAnsi="Times New Roman"/>
          <w:kern w:val="144"/>
          <w:sz w:val="24"/>
          <w:szCs w:val="24"/>
        </w:rPr>
        <w:t>,</w:t>
      </w:r>
      <w:r w:rsidR="00E73913" w:rsidRPr="006E1A36">
        <w:rPr>
          <w:rFonts w:ascii="Times New Roman" w:hAnsi="Times New Roman"/>
          <w:kern w:val="144"/>
          <w:sz w:val="24"/>
          <w:szCs w:val="24"/>
        </w:rPr>
        <w:t xml:space="preserve"> </w:t>
      </w:r>
    </w:p>
    <w:p w:rsidR="006E1A36" w:rsidRPr="006E1A36" w:rsidRDefault="006E1A36" w:rsidP="00A06A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psychologiczne i prawne aspekty etyki zawodów prawniczych ze szczególnym uwzględnieniem zasad odpowiedzialności dyscyplinarnej</w:t>
      </w:r>
      <w:r w:rsidR="00CE1DE8">
        <w:rPr>
          <w:rFonts w:ascii="Times New Roman" w:hAnsi="Times New Roman"/>
          <w:kern w:val="144"/>
          <w:sz w:val="24"/>
          <w:szCs w:val="24"/>
        </w:rPr>
        <w:t>,</w:t>
      </w:r>
    </w:p>
    <w:p w:rsidR="00D93DB6" w:rsidRPr="0036423F" w:rsidRDefault="006E1A36" w:rsidP="00A06A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psychologiczne przygotowanie do zawodu prokuratora (w tym w zakresie: wizerunku, komunikacji, zarządzania emocjami i radzenia sobie ze stresem, zarządzania zespołem, a także niezależności wewnętrznej i zewnętrznej oraz przywiązania do wartości w zawodzie prokuratora)</w:t>
      </w:r>
      <w:r w:rsidR="00D93DB6" w:rsidRPr="006E1A36">
        <w:rPr>
          <w:rFonts w:ascii="Times New Roman" w:hAnsi="Times New Roman"/>
          <w:kern w:val="144"/>
          <w:sz w:val="24"/>
          <w:szCs w:val="24"/>
        </w:rPr>
        <w:t>.</w:t>
      </w:r>
    </w:p>
    <w:p w:rsidR="0036423F" w:rsidRPr="006E1A36" w:rsidRDefault="0036423F" w:rsidP="0036423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617" w:rsidRPr="009B0617" w:rsidRDefault="009B0617" w:rsidP="00A06A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w </w:t>
      </w:r>
      <w:r w:rsidR="00CE1DE8">
        <w:rPr>
          <w:rFonts w:ascii="Times New Roman" w:eastAsia="Times New Roman" w:hAnsi="Times New Roman"/>
          <w:sz w:val="24"/>
          <w:szCs w:val="24"/>
          <w:lang w:eastAsia="pl-PL"/>
        </w:rPr>
        <w:t>zakresie objętym tematyką zjazdu. Również ma t</w:t>
      </w: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 xml:space="preserve">emu </w:t>
      </w:r>
      <w:r w:rsidR="00BA0582">
        <w:rPr>
          <w:rFonts w:ascii="Times New Roman" w:eastAsia="Times New Roman" w:hAnsi="Times New Roman"/>
          <w:sz w:val="24"/>
          <w:szCs w:val="24"/>
          <w:lang w:eastAsia="pl-PL"/>
        </w:rPr>
        <w:t xml:space="preserve">służyć </w:t>
      </w: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ich z zasadami biurowości – w tym prowadzenia urządzeń ewidencyjnych dla rejestracji tej kategorii spraw. Dlatego </w:t>
      </w:r>
      <w:r w:rsidRPr="009B0617">
        <w:rPr>
          <w:rFonts w:ascii="Times New Roman" w:eastAsia="Times New Roman" w:hAnsi="Times New Roman"/>
          <w:b/>
          <w:sz w:val="24"/>
          <w:szCs w:val="24"/>
          <w:lang w:eastAsia="pl-PL"/>
        </w:rPr>
        <w:t>podczas praktyk aplikanci powinni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mieć możliwość zapoznania się</w:t>
      </w:r>
      <w:r w:rsidRPr="009B061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9B0617" w:rsidRDefault="009B0617" w:rsidP="00A06A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 ogólnymi zasadami funkcjonowania prokuratury rejonowej,</w:t>
      </w:r>
      <w:r w:rsidR="00CE1D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 xml:space="preserve">a w szczególności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>z funkcjonowaniem w praktyce przepisów, na podstawie których dekretowane są jako doniesienie o przestępstwie (rejestrowane w repertorium Ds.)</w:t>
      </w:r>
      <w:r w:rsidR="00CE1D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jako doniesienia </w:t>
      </w:r>
      <w:r w:rsidR="00BA0582">
        <w:rPr>
          <w:rFonts w:ascii="Times New Roman" w:eastAsia="Times New Roman" w:hAnsi="Times New Roman"/>
          <w:sz w:val="24"/>
          <w:szCs w:val="24"/>
          <w:lang w:eastAsia="pl-PL"/>
        </w:rPr>
        <w:t xml:space="preserve">(rejestrowane w rejestrze Ko) </w:t>
      </w: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>lub inne wpływające do prokuratury pisma oraz pozyskiwane w inny sposób informacje;</w:t>
      </w:r>
    </w:p>
    <w:p w:rsidR="009B0617" w:rsidRPr="009B0617" w:rsidRDefault="009B0617" w:rsidP="00A06A5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B0617">
        <w:rPr>
          <w:rFonts w:ascii="Times New Roman" w:hAnsi="Times New Roman"/>
          <w:sz w:val="24"/>
          <w:szCs w:val="24"/>
        </w:rPr>
        <w:t>z procesowymi skutkami, jakie w konkretnych sprawach spowodowało zaniechanie w odpowiednim czasie właściwego ukierunkowania postępowania przez prokuratora;</w:t>
      </w:r>
    </w:p>
    <w:p w:rsidR="009B0617" w:rsidRPr="009B0617" w:rsidRDefault="009B0617" w:rsidP="00A06A5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B0617">
        <w:rPr>
          <w:rFonts w:ascii="Times New Roman" w:hAnsi="Times New Roman"/>
          <w:sz w:val="24"/>
          <w:szCs w:val="24"/>
        </w:rPr>
        <w:t xml:space="preserve">ze sposobem wykorzystania w praktyce uregulowań zawartych w </w:t>
      </w:r>
      <w:r w:rsidRPr="009B0617">
        <w:rPr>
          <w:rFonts w:ascii="Times New Roman" w:hAnsi="Times New Roman"/>
          <w:bCs/>
          <w:sz w:val="24"/>
          <w:szCs w:val="24"/>
        </w:rPr>
        <w:t>Regulaminie wewnętrznego urzędowania powszechnych jednostek organizacyjnych prokuratury</w:t>
      </w:r>
      <w:r w:rsidRPr="009B0617">
        <w:rPr>
          <w:rFonts w:ascii="Times New Roman" w:hAnsi="Times New Roman"/>
          <w:sz w:val="24"/>
          <w:szCs w:val="24"/>
        </w:rPr>
        <w:t>;</w:t>
      </w:r>
    </w:p>
    <w:p w:rsidR="009B0617" w:rsidRPr="009B0617" w:rsidRDefault="009B0617" w:rsidP="00A06A5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B0617">
        <w:rPr>
          <w:rFonts w:ascii="Times New Roman" w:hAnsi="Times New Roman"/>
          <w:sz w:val="24"/>
          <w:szCs w:val="24"/>
        </w:rPr>
        <w:t>z metodyką i organizacją pracy prokuratora (patrona);</w:t>
      </w:r>
    </w:p>
    <w:p w:rsidR="009B0617" w:rsidRPr="009B0617" w:rsidRDefault="009B0617" w:rsidP="00A06A5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B0617">
        <w:rPr>
          <w:rFonts w:ascii="Times New Roman" w:hAnsi="Times New Roman"/>
          <w:sz w:val="24"/>
          <w:szCs w:val="24"/>
        </w:rPr>
        <w:t xml:space="preserve">ze stosowanymi w jednostce prokuratury urządzeniami kontrolno-ewidencyjnymi, w tym z funkcjonowaniem Systemu Informatycznego Prokuratury, </w:t>
      </w:r>
      <w:r w:rsidR="00BA0582">
        <w:rPr>
          <w:rFonts w:ascii="Times New Roman" w:hAnsi="Times New Roman"/>
          <w:sz w:val="24"/>
          <w:szCs w:val="24"/>
        </w:rPr>
        <w:t xml:space="preserve">jak </w:t>
      </w:r>
      <w:r w:rsidRPr="009B0617">
        <w:rPr>
          <w:rFonts w:ascii="Times New Roman" w:hAnsi="Times New Roman"/>
          <w:sz w:val="24"/>
          <w:szCs w:val="24"/>
        </w:rPr>
        <w:t>również w aspekcie zadań realizowanych przez sekretariaty.</w:t>
      </w:r>
    </w:p>
    <w:p w:rsidR="009B0617" w:rsidRPr="009B0617" w:rsidRDefault="009B0617" w:rsidP="00A06A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0617" w:rsidRPr="009B0617" w:rsidRDefault="009B0617" w:rsidP="00A06A5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0617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Szczególnie istotne jest, aby w ramach odbywanej praktyki aplikanci </w:t>
      </w:r>
      <w:r w:rsidR="00A06A50">
        <w:rPr>
          <w:rFonts w:ascii="Times New Roman" w:eastAsia="Times New Roman" w:hAnsi="Times New Roman"/>
          <w:sz w:val="24"/>
          <w:szCs w:val="24"/>
          <w:lang w:eastAsia="pl-PL"/>
        </w:rPr>
        <w:t>zostali poinformowa</w:t>
      </w:r>
      <w:r w:rsidR="00CE1DE8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A06A50">
        <w:rPr>
          <w:rFonts w:ascii="Times New Roman" w:eastAsia="Times New Roman" w:hAnsi="Times New Roman"/>
          <w:sz w:val="24"/>
          <w:szCs w:val="24"/>
          <w:lang w:eastAsia="pl-PL"/>
        </w:rPr>
        <w:t xml:space="preserve">i o etycznych aspektach pracy prokuratora, w tym zapoznani ze Zbiorem Zasad Etyki Zawodowej Prokuratorów oraz praktycznym jego zastosowaniem w trakcie wykonywania pracy zawodowej i konsekwencjami wynikającymi z jego nieprzestrzegania. </w:t>
      </w:r>
    </w:p>
    <w:p w:rsidR="009B0617" w:rsidRDefault="009B0617" w:rsidP="00A06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DB6" w:rsidRDefault="00CE1DE8" w:rsidP="00A06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nie wyklucza możliwości</w:t>
      </w:r>
      <w:r w:rsidR="00D93DB6">
        <w:rPr>
          <w:rFonts w:ascii="Times New Roman" w:hAnsi="Times New Roman"/>
          <w:sz w:val="24"/>
          <w:szCs w:val="24"/>
        </w:rPr>
        <w:t xml:space="preserve"> powierzania aplikantom również innych zadań wynikających z normalnego toku pracy prokuratorskiej, zwłaszcza takich, z którymi dotychczas jeszcze się nie zetknęli lub</w:t>
      </w:r>
      <w:r w:rsidR="00C469B8">
        <w:rPr>
          <w:rFonts w:ascii="Times New Roman" w:hAnsi="Times New Roman"/>
          <w:sz w:val="24"/>
          <w:szCs w:val="24"/>
        </w:rPr>
        <w:t>,</w:t>
      </w:r>
      <w:r w:rsidR="00D93DB6">
        <w:rPr>
          <w:rFonts w:ascii="Times New Roman" w:hAnsi="Times New Roman"/>
          <w:sz w:val="24"/>
          <w:szCs w:val="24"/>
        </w:rPr>
        <w:t xml:space="preserve"> w których nie uczestniczyli.</w:t>
      </w:r>
    </w:p>
    <w:p w:rsidR="00D93DB6" w:rsidRDefault="00CE1DE8" w:rsidP="00A06A5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1DE8" w:rsidRDefault="00CE1DE8" w:rsidP="00A06A5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5106E" w:rsidRDefault="0065106E" w:rsidP="00A06A5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93DB6" w:rsidRPr="00C25C09" w:rsidRDefault="00C25C09" w:rsidP="00C25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06A50" w:rsidRPr="00C25C09">
        <w:rPr>
          <w:rFonts w:ascii="Times New Roman" w:hAnsi="Times New Roman"/>
          <w:b/>
          <w:sz w:val="24"/>
          <w:szCs w:val="24"/>
        </w:rPr>
        <w:t>Kierownik</w:t>
      </w:r>
    </w:p>
    <w:p w:rsidR="00D93DB6" w:rsidRPr="00C25C09" w:rsidRDefault="00C25C09" w:rsidP="00C25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C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65106E">
        <w:rPr>
          <w:rFonts w:ascii="Times New Roman" w:hAnsi="Times New Roman"/>
          <w:b/>
          <w:sz w:val="24"/>
          <w:szCs w:val="24"/>
        </w:rPr>
        <w:t xml:space="preserve">                           D</w:t>
      </w:r>
      <w:r w:rsidR="00D93DB6" w:rsidRPr="00C25C09">
        <w:rPr>
          <w:rFonts w:ascii="Times New Roman" w:hAnsi="Times New Roman"/>
          <w:b/>
          <w:sz w:val="24"/>
          <w:szCs w:val="24"/>
        </w:rPr>
        <w:t>ziału Dydaktycznego</w:t>
      </w:r>
    </w:p>
    <w:p w:rsidR="00A06A50" w:rsidRPr="00C25C09" w:rsidRDefault="00C25C09" w:rsidP="00C25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C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65106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06A50" w:rsidRPr="00C25C09">
        <w:rPr>
          <w:rFonts w:ascii="Times New Roman" w:hAnsi="Times New Roman"/>
          <w:b/>
          <w:sz w:val="24"/>
          <w:szCs w:val="24"/>
        </w:rPr>
        <w:t>Ośrodka Aplikacji Prokuratorskiej</w:t>
      </w:r>
    </w:p>
    <w:p w:rsidR="00A06A50" w:rsidRPr="00C25C09" w:rsidRDefault="00C25C09" w:rsidP="00C25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C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06A50" w:rsidRPr="00C25C09">
        <w:rPr>
          <w:rFonts w:ascii="Times New Roman" w:hAnsi="Times New Roman"/>
          <w:b/>
          <w:sz w:val="24"/>
          <w:szCs w:val="24"/>
        </w:rPr>
        <w:t>K</w:t>
      </w:r>
      <w:r w:rsidRPr="00C25C09">
        <w:rPr>
          <w:rFonts w:ascii="Times New Roman" w:hAnsi="Times New Roman"/>
          <w:b/>
          <w:sz w:val="24"/>
          <w:szCs w:val="24"/>
        </w:rPr>
        <w:t xml:space="preserve">rajowej </w:t>
      </w:r>
      <w:r w:rsidR="00A06A50" w:rsidRPr="00C25C09">
        <w:rPr>
          <w:rFonts w:ascii="Times New Roman" w:hAnsi="Times New Roman"/>
          <w:b/>
          <w:sz w:val="24"/>
          <w:szCs w:val="24"/>
        </w:rPr>
        <w:t>S</w:t>
      </w:r>
      <w:r w:rsidRPr="00C25C09">
        <w:rPr>
          <w:rFonts w:ascii="Times New Roman" w:hAnsi="Times New Roman"/>
          <w:b/>
          <w:sz w:val="24"/>
          <w:szCs w:val="24"/>
        </w:rPr>
        <w:t xml:space="preserve">zkoły </w:t>
      </w:r>
      <w:r w:rsidR="00A06A50" w:rsidRPr="00C25C09">
        <w:rPr>
          <w:rFonts w:ascii="Times New Roman" w:hAnsi="Times New Roman"/>
          <w:b/>
          <w:sz w:val="24"/>
          <w:szCs w:val="24"/>
        </w:rPr>
        <w:t>S</w:t>
      </w:r>
      <w:r w:rsidRPr="00C25C09">
        <w:rPr>
          <w:rFonts w:ascii="Times New Roman" w:hAnsi="Times New Roman"/>
          <w:b/>
          <w:sz w:val="24"/>
          <w:szCs w:val="24"/>
        </w:rPr>
        <w:t xml:space="preserve">ądownictwa </w:t>
      </w:r>
      <w:r w:rsidR="00A06A50" w:rsidRPr="00C25C09">
        <w:rPr>
          <w:rFonts w:ascii="Times New Roman" w:hAnsi="Times New Roman"/>
          <w:b/>
          <w:sz w:val="24"/>
          <w:szCs w:val="24"/>
        </w:rPr>
        <w:t>i</w:t>
      </w:r>
      <w:r w:rsidRPr="00C25C09">
        <w:rPr>
          <w:rFonts w:ascii="Times New Roman" w:hAnsi="Times New Roman"/>
          <w:b/>
          <w:sz w:val="24"/>
          <w:szCs w:val="24"/>
        </w:rPr>
        <w:t xml:space="preserve"> </w:t>
      </w:r>
      <w:r w:rsidR="00A06A50" w:rsidRPr="00C25C09">
        <w:rPr>
          <w:rFonts w:ascii="Times New Roman" w:hAnsi="Times New Roman"/>
          <w:b/>
          <w:sz w:val="24"/>
          <w:szCs w:val="24"/>
        </w:rPr>
        <w:t>P</w:t>
      </w:r>
      <w:r w:rsidRPr="00C25C09">
        <w:rPr>
          <w:rFonts w:ascii="Times New Roman" w:hAnsi="Times New Roman"/>
          <w:b/>
          <w:sz w:val="24"/>
          <w:szCs w:val="24"/>
        </w:rPr>
        <w:t>rokuratury</w:t>
      </w:r>
    </w:p>
    <w:p w:rsidR="00A06A50" w:rsidRPr="00C25C09" w:rsidRDefault="00A06A50" w:rsidP="00C25C09">
      <w:pPr>
        <w:spacing w:after="0" w:line="240" w:lineRule="auto"/>
        <w:ind w:firstLine="5528"/>
        <w:rPr>
          <w:rFonts w:ascii="Times New Roman" w:hAnsi="Times New Roman"/>
          <w:b/>
          <w:sz w:val="24"/>
          <w:szCs w:val="24"/>
        </w:rPr>
      </w:pPr>
    </w:p>
    <w:p w:rsidR="00D93DB6" w:rsidRPr="00C25C09" w:rsidRDefault="00A06A50" w:rsidP="00C25C09">
      <w:pPr>
        <w:spacing w:after="0" w:line="240" w:lineRule="auto"/>
        <w:ind w:firstLine="5528"/>
        <w:rPr>
          <w:rFonts w:ascii="Times New Roman" w:hAnsi="Times New Roman"/>
          <w:b/>
          <w:sz w:val="24"/>
          <w:szCs w:val="24"/>
        </w:rPr>
      </w:pPr>
      <w:r w:rsidRPr="00C25C09">
        <w:rPr>
          <w:rFonts w:ascii="Times New Roman" w:hAnsi="Times New Roman"/>
          <w:b/>
          <w:sz w:val="24"/>
          <w:szCs w:val="24"/>
        </w:rPr>
        <w:t>Beata Padło</w:t>
      </w:r>
    </w:p>
    <w:p w:rsidR="00D93DB6" w:rsidRDefault="0065106E" w:rsidP="00C25C09">
      <w:pPr>
        <w:spacing w:after="0" w:line="240" w:lineRule="auto"/>
        <w:ind w:firstLine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3DB6">
        <w:rPr>
          <w:rFonts w:ascii="Times New Roman" w:hAnsi="Times New Roman"/>
          <w:sz w:val="24"/>
          <w:szCs w:val="24"/>
        </w:rPr>
        <w:t>Prokurator</w:t>
      </w:r>
    </w:p>
    <w:p w:rsidR="00D93DB6" w:rsidRPr="00EC4B72" w:rsidRDefault="00D93DB6" w:rsidP="00C25C09"/>
    <w:p w:rsidR="000B4076" w:rsidRDefault="000B4076"/>
    <w:sectPr w:rsidR="000B4076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5B" w:rsidRDefault="000C1B5B">
      <w:pPr>
        <w:spacing w:after="0" w:line="240" w:lineRule="auto"/>
      </w:pPr>
      <w:r>
        <w:separator/>
      </w:r>
    </w:p>
  </w:endnote>
  <w:endnote w:type="continuationSeparator" w:id="0">
    <w:p w:rsidR="000C1B5B" w:rsidRDefault="000C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5B" w:rsidRDefault="000C1B5B">
      <w:pPr>
        <w:spacing w:after="0" w:line="240" w:lineRule="auto"/>
      </w:pPr>
      <w:r>
        <w:separator/>
      </w:r>
    </w:p>
  </w:footnote>
  <w:footnote w:type="continuationSeparator" w:id="0">
    <w:p w:rsidR="000C1B5B" w:rsidRDefault="000C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36423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944948">
      <w:rPr>
        <w:noProof/>
      </w:rPr>
      <w:t>2</w:t>
    </w:r>
    <w:r>
      <w:fldChar w:fldCharType="end"/>
    </w:r>
  </w:p>
  <w:p w:rsidR="00014C36" w:rsidRDefault="000C1B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D93DB6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3F"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0C1B5B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0C1B5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36423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36423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0C1B5B">
    <w:pPr>
      <w:pStyle w:val="Nagwek"/>
    </w:pPr>
  </w:p>
  <w:p w:rsidR="00162921" w:rsidRDefault="000C1B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03E"/>
    <w:multiLevelType w:val="hybridMultilevel"/>
    <w:tmpl w:val="E01AF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2820"/>
    <w:multiLevelType w:val="hybridMultilevel"/>
    <w:tmpl w:val="3DC65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90D03"/>
    <w:multiLevelType w:val="hybridMultilevel"/>
    <w:tmpl w:val="DC2A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B528A"/>
    <w:multiLevelType w:val="hybridMultilevel"/>
    <w:tmpl w:val="A18616AA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B482B"/>
    <w:multiLevelType w:val="hybridMultilevel"/>
    <w:tmpl w:val="BDA4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61DB1"/>
    <w:multiLevelType w:val="hybridMultilevel"/>
    <w:tmpl w:val="9468F8B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B6"/>
    <w:rsid w:val="000422EE"/>
    <w:rsid w:val="000B4076"/>
    <w:rsid w:val="000C1B5B"/>
    <w:rsid w:val="0036423F"/>
    <w:rsid w:val="0045000B"/>
    <w:rsid w:val="00534AA9"/>
    <w:rsid w:val="005969BD"/>
    <w:rsid w:val="005D636F"/>
    <w:rsid w:val="0065106E"/>
    <w:rsid w:val="006E1A36"/>
    <w:rsid w:val="007139D6"/>
    <w:rsid w:val="00763AFD"/>
    <w:rsid w:val="008F6C09"/>
    <w:rsid w:val="00944948"/>
    <w:rsid w:val="009A10F1"/>
    <w:rsid w:val="009B0617"/>
    <w:rsid w:val="00A06A50"/>
    <w:rsid w:val="00A46F1C"/>
    <w:rsid w:val="00B36003"/>
    <w:rsid w:val="00BA0582"/>
    <w:rsid w:val="00C25C09"/>
    <w:rsid w:val="00C469B8"/>
    <w:rsid w:val="00CE1DE8"/>
    <w:rsid w:val="00D93DB6"/>
    <w:rsid w:val="00E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D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DB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1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D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DB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2</cp:revision>
  <cp:lastPrinted>2018-01-18T09:12:00Z</cp:lastPrinted>
  <dcterms:created xsi:type="dcterms:W3CDTF">2018-07-24T09:45:00Z</dcterms:created>
  <dcterms:modified xsi:type="dcterms:W3CDTF">2018-07-24T09:45:00Z</dcterms:modified>
</cp:coreProperties>
</file>