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D6CA" w14:textId="77777777" w:rsidR="00A019E2" w:rsidRDefault="00A019E2" w:rsidP="00A019E2">
      <w:pPr>
        <w:pStyle w:val="tabela"/>
        <w:numPr>
          <w:ilvl w:val="0"/>
          <w:numId w:val="0"/>
        </w:numPr>
        <w:jc w:val="right"/>
        <w:rPr>
          <w:color w:val="000000"/>
        </w:rPr>
      </w:pPr>
      <w:bookmarkStart w:id="0" w:name="_Ref155587159"/>
      <w:r>
        <w:rPr>
          <w:color w:val="000000"/>
        </w:rPr>
        <w:t>Załącznik nr 2C do SWZ</w:t>
      </w:r>
    </w:p>
    <w:p w14:paraId="5E53F9FE" w14:textId="5F2E599A" w:rsidR="00A019E2" w:rsidRDefault="00A019E2" w:rsidP="00A019E2">
      <w:pPr>
        <w:pStyle w:val="tabel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Kryteria środowiskowe dla </w:t>
      </w:r>
      <w:bookmarkEnd w:id="0"/>
      <w:r w:rsidR="00DA6D71">
        <w:rPr>
          <w:color w:val="000000"/>
        </w:rPr>
        <w:t>notebooków</w:t>
      </w:r>
      <w:r>
        <w:rPr>
          <w:color w:val="000000"/>
        </w:rPr>
        <w:t xml:space="preserve"> (I część zamówienia)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378"/>
        <w:gridCol w:w="1477"/>
        <w:gridCol w:w="1238"/>
      </w:tblGrid>
      <w:tr w:rsidR="00A019E2" w14:paraId="47E5711B" w14:textId="77777777" w:rsidTr="00DA6D71">
        <w:trPr>
          <w:trHeight w:val="277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9098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ECD7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D372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Obowiązkowe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8D23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</w:t>
            </w:r>
          </w:p>
        </w:tc>
      </w:tr>
      <w:tr w:rsidR="00A019E2" w14:paraId="60C70D55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0EC9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0C67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Pobór mocy w trybie bezczynności: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A1E1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0486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52DAD3A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7554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ECDF2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A: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14 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F984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0B93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4F8C5C71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B396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6DCA4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B: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22 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B7BC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9945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72B1432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3338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D22D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Pobór mocy w trybie uśpienia: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DF5D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DC06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22E2773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2A7C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AEFB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1,7 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BB77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B3F7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F8C7FCE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C263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3EC9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2,4 W - jeśli dostępna jest funkcja budzenia w sieci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8556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1A74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36EEF45F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FD03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3814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Pobór mocy w trybie czuwania: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4778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99ED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02CC855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1B3B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70BE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1,0 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F7F4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24D5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B6D16D1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E4FA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2A44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1,7 W - jeśli dostępna jest funkcja budzenia w sieci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596E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C0AF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E220F88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14A96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71D4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Występowanie łatwo dostępnego wyłącznika zasilania do całkowitego odłączenia sprzętu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C17B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7CF2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24B79181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ADFD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A630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wstępnych ustawień systemu zarządzania energią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592E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18AD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407F26E1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5B4F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C3CE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Indywidualnie regulowany czas reakcji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A17B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D2D4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05589EE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36C0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3ACF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 przechodzi w stan uśpienia po 15 minutach braku aktywności użytkownika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F85E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1BB2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532FCAD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9433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50B1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 przechodzi w stan uśpienia po 30 minutach braku aktywności użytkownika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8723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171A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450304B6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431D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9F44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 budzenia w sieci (WOL) dostępna również w stanie uśpienia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C3CF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B204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441E5F72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892A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011E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Tryb czuwania dostępny także w pracy sieciowej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A911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D33F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51667739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0696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8C88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 środowiskowe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26FD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846F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8AD3610" w14:textId="77777777" w:rsidTr="00DA6D71">
        <w:trPr>
          <w:trHeight w:val="2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8A03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76E5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Wymagania odnośnie części wykonanych z tworzyw sztucznych: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1E6D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08B5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</w:p>
        </w:tc>
      </w:tr>
      <w:tr w:rsidR="00A019E2" w14:paraId="09270CA0" w14:textId="77777777" w:rsidTr="00DA6D71">
        <w:trPr>
          <w:cantSplit/>
        </w:trPr>
        <w:tc>
          <w:tcPr>
            <w:tcW w:w="5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FA78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BBEB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03AF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D57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22F07FA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C1A29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46E09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 zbudowane z jednego polimeru lub wielu kompatybilnych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E32A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8F86B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4DD0F65F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1B2E6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8FA6D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elementów z metalu, których nie dałoby się wydzielić przy użyciu prostych narzędzi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BDC0D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597E5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6E3FCAF6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86D9B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1BE0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 nie zawierają polibromowanego bifenylu ani polibromowanych środków zmniejszających palność wymienionych artykule 4 Dyrektywy 2002/95/EC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31F6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79F1C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7BECB1D5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A3EBF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5F722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chloroparafinowych środków zmniejszających palność zbudowanych z substancji zawierających 10-17 atomów węgla i o zawartości chloru przekraczającej 50% masowych.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6B3B5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91739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738E95EF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F2733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F9BE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elementy cięższe niż 25 g, nie zawierają substancji zmniejszających palność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BE419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A795D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4FA45522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AF805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9BDF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 zawierają substancji niebezpiecznych dla zdrowia I środowiska zdefiniowanych w Dyrektywie 67/548/EEC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8B67F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DE7D9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1F2149DC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2E95E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FAA3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posiadają trwałe oznakowanie umożliwiające identyfikację składu, zgodną z normą ISO 11469; 2000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0FB2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F1F5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3FAFD7FC" w14:textId="77777777" w:rsidTr="00DA6D71">
        <w:trPr>
          <w:trHeight w:val="27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B31D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3284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Emisja hałasu: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CB6E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D17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F53B384" w14:textId="77777777" w:rsidTr="00DA6D71">
        <w:trPr>
          <w:cantSplit/>
          <w:trHeight w:val="281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DA2A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5E524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3,5 B(A) w trybie bezczynności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4755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552B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CFF8325" w14:textId="77777777" w:rsidTr="00DA6D71">
        <w:trPr>
          <w:cantSplit/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A91CB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CD1F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4,0 B(A) przy uruchamianiu napędu twardego dysku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F6D3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DF15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530A620C" w14:textId="77777777" w:rsidTr="00DA6D71">
        <w:trPr>
          <w:trHeight w:val="263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710A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704B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 spełnia wymagania zawarte w normie EN50279, klasa 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D2B8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C0A0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2606AF1" w14:textId="77777777" w:rsidTr="00DA6D71">
        <w:trPr>
          <w:trHeight w:val="281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0519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6983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Łatwość demontażu urządzenia uwzględniona na etapie projektowania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9928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803A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55DE43F3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37A8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FE10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Substancje niebezpieczne są łatwe do wydzielenia.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9E4B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96D9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28A7388B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1920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CCF3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Baterie zawierają nie więcej niż 0.0001 % rtęci, 0.001 %  kadmu lub  0.01 % ołowiu (% masowe).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670A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CCAA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E473CF2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0F81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ABB7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 kryteria jakościowe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76D2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404C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59B67B9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A123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99D06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Łatwa wymiana takich elementów systemu jak pamięć, twardy dysk, karta graficzna, napędy CD-ROM I DVD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9CF3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02BC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84D5660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7118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8427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Standartowe i łatwo dostępne połączenia podzespołów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B4BB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5709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79F794F0" w14:textId="77777777" w:rsidR="007721A3" w:rsidRDefault="007721A3"/>
    <w:p w14:paraId="2A19A2E4" w14:textId="54A81527" w:rsidR="00A019E2" w:rsidRDefault="00A019E2" w:rsidP="00A019E2">
      <w:pPr>
        <w:pStyle w:val="tabela"/>
        <w:numPr>
          <w:ilvl w:val="0"/>
          <w:numId w:val="0"/>
        </w:numPr>
        <w:rPr>
          <w:color w:val="000000"/>
        </w:rPr>
      </w:pPr>
      <w:bookmarkStart w:id="1" w:name="_Ref155580838"/>
      <w:r>
        <w:rPr>
          <w:color w:val="000000"/>
        </w:rPr>
        <w:t>Kryteri</w:t>
      </w:r>
      <w:r w:rsidR="000D0642">
        <w:rPr>
          <w:color w:val="000000"/>
        </w:rPr>
        <w:t>a</w:t>
      </w:r>
      <w:r>
        <w:rPr>
          <w:color w:val="000000"/>
        </w:rPr>
        <w:t xml:space="preserve"> środowiskow</w:t>
      </w:r>
      <w:r w:rsidR="00DA6D71">
        <w:rPr>
          <w:color w:val="000000"/>
        </w:rPr>
        <w:t>e</w:t>
      </w:r>
      <w:r>
        <w:rPr>
          <w:color w:val="000000"/>
        </w:rPr>
        <w:t xml:space="preserve"> dla komputerów stacjonarnych</w:t>
      </w:r>
      <w:bookmarkEnd w:id="1"/>
      <w:r>
        <w:rPr>
          <w:color w:val="000000"/>
        </w:rPr>
        <w:t xml:space="preserve"> (II część zamówienia)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6394"/>
        <w:gridCol w:w="1477"/>
        <w:gridCol w:w="1238"/>
      </w:tblGrid>
      <w:tr w:rsidR="00A019E2" w14:paraId="040A2282" w14:textId="77777777" w:rsidTr="00A019E2">
        <w:trPr>
          <w:trHeight w:val="41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AC74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L.p.</w:t>
            </w:r>
          </w:p>
          <w:p w14:paraId="4B0C402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5924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86DA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Obowiązkowe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46A2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</w:t>
            </w:r>
          </w:p>
        </w:tc>
      </w:tr>
      <w:tr w:rsidR="00A019E2" w14:paraId="66E8760E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A86C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0766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Komputery z wewnętrznym zasilaniem charakteryzują się min. 80 % sprawności przy 20 %, 50 % i 100 % wydajności znamionowej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C050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A61D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65AD9A3F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5E81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51DC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Współczynnik mocy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</w:t>
            </w:r>
            <w:r>
              <w:rPr>
                <w:color w:val="000000"/>
                <w:sz w:val="20"/>
                <w:szCs w:val="20"/>
              </w:rPr>
              <w:t xml:space="preserve"> 0,9 przy 100% wydajności znamionowej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5603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A26C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3D1B120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33E7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F9A4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 z zewnętrznym zasilaczem spełnia wymagania EnergyStar dla podłączeń do źródeł zasilania typu prąd zmienny/prąd zmienny i prąd zmienny/prąd stały (</w:t>
            </w:r>
            <w:hyperlink r:id="rId6" w:history="1">
              <w:r>
                <w:rPr>
                  <w:rStyle w:val="Hipercze"/>
                  <w:color w:val="000000"/>
                  <w:sz w:val="20"/>
                  <w:szCs w:val="20"/>
                </w:rPr>
                <w:t>www.energystar.org/powersupplies</w:t>
              </w:r>
            </w:hyperlink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E106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7EFE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343590B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FC83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019B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Pobór mocy: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6EBA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C2B3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C623E5E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BAFF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AA70C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bezczynności: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73BB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9E85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94A59B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F9F4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E1579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A: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50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AA30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CA53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5808F10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0803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2D948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B: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65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64DD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4EAC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64B9B79D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D5BC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71B58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C: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90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0B2F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EB02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29DB93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5F93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7BF5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uśpienia: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4E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C567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57FCF9A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776B6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1D4AC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898E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FE97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58BC98E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2AA6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FFB5F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4,7 W - jeśli dostępna jest funkcja budzenia w sieci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B501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B6CD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8E53BCB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2B35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770F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czuwania: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4A0F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F442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D5C171D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3AF1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1D99B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5E2B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F39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C315A08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F87E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D96FD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2,7 W - jeśli dostępna jest funkcja budzenia w sieci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63B4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DFF8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B89BAD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792E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BE2B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Indywidualnie regulowany czas reakcji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559C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2E6B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DCCE0BB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1CB6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6286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Tryb czuwania dostępny także w pracy sieciowej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9EC4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99A3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B33008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62FB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23C4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wstępnych ustawień systemu zarządzania energią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F48B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61F1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D4B77CC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8392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5352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Zaawansowanego Interfejsu Zarządzania Konfiguracją i Energią (ACPI) lub innego równoważnego systemu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5FF6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3D62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4BB1C2C8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C106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CDD0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Całkowity pobór mocy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0.35 * [Pmax + (#HDD * 5)] W</w:t>
            </w:r>
          </w:p>
          <w:p w14:paraId="6717DA7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#HDD = liczba napędów twardych dysków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5C6C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874B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E6EA203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A3EA1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1ADB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Występowanie łatwo dostępnego wyłącznika zasilania do całkowitego odłączenia sprzętu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2D9E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DDC7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F9FD70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A012B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B8B5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 środowiskowe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C5AD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080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44A7B79" w14:textId="77777777" w:rsidTr="00A019E2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90E91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0C79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Wymagania odnośnie części wykonanych z tworzyw sztucznych:</w:t>
            </w:r>
          </w:p>
          <w:p w14:paraId="3775A973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</w:t>
            </w:r>
          </w:p>
          <w:p w14:paraId="37F26018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 zbudowane z jednego polimeru lub wielu kompatybilnych</w:t>
            </w:r>
          </w:p>
          <w:p w14:paraId="685D3ED9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elementów z metalu, których nie dałoby się wydzielić przy użyciu prostych narzędzi</w:t>
            </w:r>
          </w:p>
          <w:p w14:paraId="5C410BA2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są nie zawierają polibromowanego bifenylu ani polibromowanych środków zmniejszających palność wymienionych artykule 4 Dyrektywy 2002/95/EC</w:t>
            </w:r>
          </w:p>
          <w:p w14:paraId="466828E8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chloroparafinowych środków zmniejszających palność zbudowanych z substancji zawierających 10-17 atomów węgla i o zawartości chloru przekraczającej 50% masowych.</w:t>
            </w:r>
          </w:p>
          <w:p w14:paraId="24F62B1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elementy cięższe niż 25 g, nie zawierają substancji zmniejszających palność</w:t>
            </w:r>
          </w:p>
          <w:p w14:paraId="12DEFC6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 zawierają substancji niebezpiecznych dla zdrowia I środowiska zdefiniowanych w Dyrektywie 67/548/EEC</w:t>
            </w:r>
          </w:p>
          <w:p w14:paraId="0F85AB00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posiadają trwałe oznakowanie umożliwiające identyfikację składu, zgodną z normą ISO 11469; 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DDF9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6D5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  <w:p w14:paraId="4BAB438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62E29C6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F73E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D249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Emisja hałasu: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1113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4CF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397961CF" w14:textId="77777777" w:rsidTr="00A019E2">
        <w:trPr>
          <w:cantSplit/>
          <w:trHeight w:val="38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5517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244F3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4.0 B(A) w trybie pracy i bezczynności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C038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F54E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38589B3" w14:textId="77777777" w:rsidTr="00A019E2">
        <w:trPr>
          <w:cantSplit/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A2316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0B12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4.5 B(A) przy uruchamianiu napędu twardego dysku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8D474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B165C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6F66D205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051B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A8AD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Spełnienie wymagań zawartych w normie EN50279, klasa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E322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655D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BC67036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3F24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1FCA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Łatwość demontażu urządzenia uwzględniona na etapie projektowania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5BC3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1D93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62B1A4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BBD0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FA7A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Substancje niebezpieczne są łatwe do wydzielenia.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FCA5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37F6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58E9BA75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C3F2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EC24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Baterie zawierają nie więcej niż 0.0001 % rtęci, 0.001 %  kadmu lub  0.01 % ołowiu (% masowe).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12B1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DE0E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BF6FB30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311B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B72F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 kryteria jakościowe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831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390C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61CFE15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F3DC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2A16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Łatwa wymiana takich elementów systemu jak pamięć, twardy dysk, karta graficzna, napędy CD-ROM I DVD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2A7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8908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2D695F8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C354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4FA3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Standartowe i łatwo dostępne połączenia podzespołów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57B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4AB2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7D43F14E" w14:textId="77777777" w:rsidR="00A019E2" w:rsidRDefault="00A019E2"/>
    <w:sectPr w:rsidR="00A0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2B89"/>
    <w:multiLevelType w:val="hybridMultilevel"/>
    <w:tmpl w:val="AA308ABC"/>
    <w:lvl w:ilvl="0" w:tplc="0415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0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5000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5000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50005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7505FB"/>
    <w:multiLevelType w:val="multilevel"/>
    <w:tmpl w:val="B60A2DAA"/>
    <w:lvl w:ilvl="0">
      <w:start w:val="1"/>
      <w:numFmt w:val="decimal"/>
      <w:pStyle w:val="tabela"/>
      <w:lvlText w:val="Tab. %1"/>
      <w:lvlJc w:val="left"/>
      <w:pPr>
        <w:tabs>
          <w:tab w:val="num" w:pos="360"/>
        </w:tabs>
        <w:ind w:left="1247" w:hanging="124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E2"/>
    <w:rsid w:val="000D0642"/>
    <w:rsid w:val="007721A3"/>
    <w:rsid w:val="0080503E"/>
    <w:rsid w:val="00A019E2"/>
    <w:rsid w:val="00A613FB"/>
    <w:rsid w:val="00D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17DC"/>
  <w15:chartTrackingRefBased/>
  <w15:docId w15:val="{893C2308-F8B7-480F-9A9A-93009158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E2"/>
    <w:pPr>
      <w:spacing w:after="0" w:line="240" w:lineRule="auto"/>
    </w:pPr>
    <w:rPr>
      <w:rFonts w:ascii="Open Sans" w:hAnsi="Open Sans" w:cs="Open 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rsid w:val="00A019E2"/>
    <w:pPr>
      <w:numPr>
        <w:numId w:val="1"/>
      </w:numPr>
      <w:spacing w:before="120"/>
      <w:jc w:val="both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19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rgystar.org/powersuppl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C5EE-7B58-433C-A82B-F76548C5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Katarzyna Mikolaszek</cp:lastModifiedBy>
  <cp:revision>3</cp:revision>
  <dcterms:created xsi:type="dcterms:W3CDTF">2021-04-27T07:44:00Z</dcterms:created>
  <dcterms:modified xsi:type="dcterms:W3CDTF">2021-04-29T05:12:00Z</dcterms:modified>
</cp:coreProperties>
</file>