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III-401-15</w:t>
      </w:r>
      <w:r w:rsidR="00017692">
        <w:rPr>
          <w:rFonts w:ascii="Bookman Old Style" w:hAnsi="Bookman Old Style"/>
        </w:rPr>
        <w:t>5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017692">
        <w:rPr>
          <w:rFonts w:ascii="Bookman Old Style" w:hAnsi="Bookman Old Style"/>
        </w:rPr>
        <w:t>D</w:t>
      </w:r>
      <w:r w:rsidR="004630B5">
        <w:rPr>
          <w:rFonts w:ascii="Bookman Old Style" w:hAnsi="Bookman Old Style"/>
        </w:rPr>
        <w:t>/16</w:t>
      </w:r>
    </w:p>
    <w:p w:rsidR="00010440" w:rsidRPr="009406B1" w:rsidRDefault="0001769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017692">
        <w:rPr>
          <w:rFonts w:ascii="Bookman Old Style" w:hAnsi="Bookman Old Style"/>
          <w:bCs/>
        </w:rPr>
        <w:t>KRAKOWSKIEJ</w:t>
      </w:r>
    </w:p>
    <w:p w:rsidR="00010440" w:rsidRPr="009406B1" w:rsidRDefault="0001769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01769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01769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01769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01769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7692" w:rsidRPr="00017692" w:rsidRDefault="00017692" w:rsidP="00017692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22</w:t>
      </w:r>
      <w:r w:rsidR="002759EE">
        <w:rPr>
          <w:rFonts w:ascii="Bookman Old Style" w:hAnsi="Bookman Old Style"/>
        </w:rPr>
        <w:t xml:space="preserve"> czerwiec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 w:rsidRPr="00017692">
        <w:rPr>
          <w:rFonts w:ascii="Bookman Old Style" w:hAnsi="Bookman Old Style"/>
        </w:rPr>
        <w:t>Sąd Okręgowy</w:t>
      </w:r>
      <w:r>
        <w:rPr>
          <w:rFonts w:ascii="Bookman Old Style" w:hAnsi="Bookman Old Style"/>
        </w:rPr>
        <w:t xml:space="preserve"> w Krakowie</w:t>
      </w:r>
      <w:r>
        <w:rPr>
          <w:rFonts w:ascii="Bookman Old Style" w:hAnsi="Bookman Old Style"/>
        </w:rPr>
        <w:br/>
        <w:t>ul. Przy Rondzie 7</w:t>
      </w:r>
      <w:r>
        <w:rPr>
          <w:rFonts w:ascii="Bookman Old Style" w:hAnsi="Bookman Old Style"/>
        </w:rPr>
        <w:br/>
      </w:r>
      <w:r w:rsidRPr="00017692">
        <w:rPr>
          <w:rFonts w:ascii="Bookman Old Style" w:hAnsi="Bookman Old Style"/>
        </w:rPr>
        <w:t xml:space="preserve">31-547 Kraków </w:t>
      </w:r>
      <w:r w:rsidRPr="00017692">
        <w:rPr>
          <w:rFonts w:ascii="Bookman Old Style" w:hAnsi="Bookman Old Style"/>
        </w:rPr>
        <w:br/>
        <w:t>sala nr K-711</w:t>
      </w:r>
    </w:p>
    <w:p w:rsidR="002759EE" w:rsidRPr="002759EE" w:rsidRDefault="002759EE" w:rsidP="002759EE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017692" w:rsidP="00687C5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01769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01769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1769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01769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01769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01769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017692">
        <w:rPr>
          <w:rFonts w:ascii="Bookman Old Style" w:hAnsi="Bookman Old Style"/>
          <w:b/>
        </w:rPr>
        <w:t>22</w:t>
      </w:r>
      <w:r w:rsidR="002759EE">
        <w:rPr>
          <w:rFonts w:ascii="Bookman Old Style" w:hAnsi="Bookman Old Style"/>
          <w:b/>
        </w:rPr>
        <w:t xml:space="preserve"> czerwca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017692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 xml:space="preserve">dr Piotr </w:t>
      </w:r>
      <w:proofErr w:type="spellStart"/>
      <w:r w:rsidR="00D65F82" w:rsidRPr="00D65F82">
        <w:rPr>
          <w:rFonts w:ascii="Bookman Old Style" w:hAnsi="Bookman Old Style"/>
        </w:rPr>
        <w:t>Gensikowski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01769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017692">
        <w:rPr>
          <w:rFonts w:ascii="Bookman Old Style" w:hAnsi="Bookman Old Style"/>
          <w:sz w:val="20"/>
          <w:szCs w:val="20"/>
        </w:rPr>
        <w:t>22</w:t>
      </w:r>
      <w:r w:rsidR="002759EE">
        <w:rPr>
          <w:rFonts w:ascii="Bookman Old Style" w:hAnsi="Bookman Old Style"/>
          <w:sz w:val="20"/>
          <w:szCs w:val="20"/>
        </w:rPr>
        <w:t xml:space="preserve"> czerwca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017692">
        <w:rPr>
          <w:rFonts w:ascii="Bookman Old Style" w:hAnsi="Bookman Old Style"/>
          <w:sz w:val="20"/>
          <w:szCs w:val="20"/>
        </w:rPr>
        <w:t>22</w:t>
      </w:r>
      <w:r w:rsidR="002759EE">
        <w:rPr>
          <w:rFonts w:ascii="Bookman Old Style" w:hAnsi="Bookman Old Style"/>
          <w:sz w:val="20"/>
          <w:szCs w:val="20"/>
        </w:rPr>
        <w:t xml:space="preserve"> lipca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17692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D105F"/>
    <w:rsid w:val="001E667A"/>
    <w:rsid w:val="00233A2D"/>
    <w:rsid w:val="002759EE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500BC"/>
    <w:rsid w:val="00A85D61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58A4-9345-4E28-905A-ED5223FF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2016-02-09T08:10:00Z</dcterms:created>
  <dcterms:modified xsi:type="dcterms:W3CDTF">2016-02-09T08:10:00Z</dcterms:modified>
</cp:coreProperties>
</file>