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429F2" w:rsidRDefault="00B429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A93431">
        <w:rPr>
          <w:rFonts w:ascii="Bookman Old Style" w:hAnsi="Bookman Old Style"/>
        </w:rPr>
        <w:t>204.2017</w:t>
      </w:r>
      <w:r w:rsidR="00A93431">
        <w:rPr>
          <w:rFonts w:ascii="Bookman Old Style" w:hAnsi="Bookman Old Style"/>
        </w:rPr>
        <w:tab/>
      </w:r>
      <w:r w:rsidR="00A93431">
        <w:rPr>
          <w:rFonts w:ascii="Bookman Old Style" w:hAnsi="Bookman Old Style"/>
        </w:rPr>
        <w:tab/>
      </w:r>
      <w:r w:rsidR="00A93431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 xml:space="preserve">21 grudnia </w:t>
      </w:r>
      <w:r w:rsidR="003A4EF2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7</w:t>
      </w:r>
      <w:r w:rsidR="003A4EF2">
        <w:rPr>
          <w:rFonts w:ascii="Bookman Old Style" w:hAnsi="Bookman Old Style"/>
        </w:rPr>
        <w:t xml:space="preserve"> r.</w:t>
      </w:r>
    </w:p>
    <w:p w:rsidR="003A4EF2" w:rsidRDefault="00B429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Edycja A – C33/A</w:t>
      </w:r>
      <w:r w:rsidR="003A4EF2">
        <w:rPr>
          <w:rFonts w:ascii="Bookman Old Style" w:hAnsi="Bookman Old Style"/>
        </w:rPr>
        <w:t>/18</w:t>
      </w:r>
    </w:p>
    <w:p w:rsidR="003A4EF2" w:rsidRDefault="005D3217" w:rsidP="003A4EF2">
      <w:pPr>
        <w:jc w:val="center"/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3A4EF2" w:rsidRDefault="003A4EF2" w:rsidP="003A4EF2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</w:t>
      </w:r>
      <w:r w:rsidR="00FD398C">
        <w:rPr>
          <w:rFonts w:ascii="Bookman Old Style" w:hAnsi="Bookman Old Style"/>
          <w:bCs/>
        </w:rPr>
        <w:t>NOWO ZATRUDNIONYCH ASYSTENTÓW</w:t>
      </w:r>
      <w:r w:rsidR="00FD398C" w:rsidRPr="00B429F2">
        <w:rPr>
          <w:rFonts w:ascii="Bookman Old Style" w:hAnsi="Bookman Old Style"/>
          <w:bCs/>
        </w:rPr>
        <w:t xml:space="preserve"> SĘDZIEGO</w:t>
      </w:r>
    </w:p>
    <w:p w:rsidR="003A4EF2" w:rsidRDefault="005D3217" w:rsidP="003A4EF2">
      <w:pPr>
        <w:jc w:val="center"/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rPr>
          <w:rFonts w:ascii="Bookman Old Style" w:hAnsi="Bookman Old Style"/>
          <w:b/>
          <w:sz w:val="18"/>
          <w:szCs w:val="18"/>
        </w:rPr>
      </w:pPr>
    </w:p>
    <w:p w:rsidR="003A4EF2" w:rsidRDefault="005D3217" w:rsidP="003A4EF2"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:rsidR="003A4EF2" w:rsidRDefault="005D3217" w:rsidP="003A4EF2"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3A4EF2" w:rsidRPr="00B429F2" w:rsidRDefault="003A4EF2" w:rsidP="003A4EF2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3A4EF2" w:rsidRDefault="003A4EF2" w:rsidP="003A4EF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="00B429F2" w:rsidRPr="00B429F2">
        <w:rPr>
          <w:rFonts w:ascii="Bookman Old Style" w:eastAsia="Calibri" w:hAnsi="Bookman Old Style"/>
          <w:b/>
          <w:lang w:eastAsia="en-US"/>
        </w:rPr>
        <w:t>Szkolenie dla nowo zatrudnionych asystentów sędziego</w:t>
      </w:r>
      <w:r>
        <w:rPr>
          <w:rFonts w:ascii="Bookman Old Style" w:hAnsi="Bookman Old Style" w:cs="Bookman Old Style"/>
          <w:b/>
          <w:bCs/>
        </w:rPr>
        <w:t>”</w:t>
      </w:r>
    </w:p>
    <w:p w:rsidR="003A4EF2" w:rsidRPr="00B429F2" w:rsidRDefault="003A4EF2" w:rsidP="003A4EF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3A4EF2" w:rsidRDefault="005D3217" w:rsidP="003A4EF2"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:rsidR="003A4EF2" w:rsidRPr="00B429F2" w:rsidRDefault="005D3217" w:rsidP="00B429F2"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2451C2" w:rsidRDefault="00FD398C" w:rsidP="00B429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 – 20 kwietnia 2018 r.</w:t>
      </w:r>
      <w:r>
        <w:rPr>
          <w:rFonts w:ascii="Bookman Old Style" w:hAnsi="Bookman Old Style"/>
        </w:rPr>
        <w:tab/>
      </w:r>
      <w:r w:rsidR="002451C2" w:rsidRPr="002451C2">
        <w:rPr>
          <w:rFonts w:ascii="Bookman Old Style" w:hAnsi="Bookman Old Style"/>
          <w:b/>
          <w:u w:val="single"/>
        </w:rPr>
        <w:t>Zajęcia</w:t>
      </w:r>
      <w:r w:rsidR="002451C2">
        <w:rPr>
          <w:rFonts w:ascii="Bookman Old Style" w:hAnsi="Bookman Old Style"/>
        </w:rPr>
        <w:t>:</w:t>
      </w:r>
    </w:p>
    <w:p w:rsidR="002451C2" w:rsidRDefault="00B429F2" w:rsidP="002451C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451C2">
        <w:rPr>
          <w:rFonts w:ascii="Bookman Old Style" w:hAnsi="Bookman Old Style"/>
        </w:rPr>
        <w:t>Krajowa Szkoła Sądownictwa i Prokuratury</w:t>
      </w:r>
    </w:p>
    <w:p w:rsidR="00B429F2" w:rsidRDefault="00B429F2" w:rsidP="00B429F2">
      <w:pPr>
        <w:spacing w:before="60"/>
        <w:ind w:left="567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ab/>
      </w:r>
      <w:r>
        <w:rPr>
          <w:rFonts w:ascii="Bookman Old Style" w:hAnsi="Bookman Old Style" w:cs="Bookman Old Style"/>
          <w:bCs/>
        </w:rPr>
        <w:tab/>
        <w:t xml:space="preserve">    </w:t>
      </w:r>
      <w:r w:rsidR="002451C2">
        <w:rPr>
          <w:rFonts w:ascii="Bookman Old Style" w:hAnsi="Bookman Old Style" w:cs="Bookman Old Style"/>
          <w:bCs/>
        </w:rPr>
        <w:t>ul. Krakowskie Przedmieście 62</w:t>
      </w:r>
    </w:p>
    <w:p w:rsidR="002451C2" w:rsidRDefault="002451C2" w:rsidP="002451C2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20 - 076 Lublin</w:t>
      </w:r>
    </w:p>
    <w:p w:rsidR="002451C2" w:rsidRPr="00B429F2" w:rsidRDefault="002451C2" w:rsidP="002451C2">
      <w:pPr>
        <w:spacing w:before="60"/>
        <w:rPr>
          <w:rFonts w:ascii="Bookman Old Style" w:hAnsi="Bookman Old Style" w:cs="Bookman Old Style"/>
          <w:b/>
          <w:bCs/>
          <w:sz w:val="16"/>
          <w:szCs w:val="16"/>
          <w:u w:val="single"/>
        </w:rPr>
      </w:pPr>
    </w:p>
    <w:p w:rsidR="002451C2" w:rsidRDefault="002451C2" w:rsidP="002451C2">
      <w:pPr>
        <w:spacing w:before="60"/>
        <w:ind w:left="2832" w:firstLine="708"/>
        <w:rPr>
          <w:rFonts w:ascii="Bookman Old Style" w:hAnsi="Bookman Old Style" w:cs="Bookman Old Style"/>
          <w:b/>
          <w:bCs/>
          <w:u w:val="single"/>
        </w:rPr>
      </w:pPr>
      <w:r w:rsidRPr="002451C2">
        <w:rPr>
          <w:rFonts w:ascii="Bookman Old Style" w:hAnsi="Bookman Old Style" w:cs="Bookman Old Style"/>
          <w:b/>
          <w:bCs/>
          <w:u w:val="single"/>
        </w:rPr>
        <w:t>Zakwaterowanie:</w:t>
      </w:r>
    </w:p>
    <w:p w:rsidR="002451C2" w:rsidRPr="002451C2" w:rsidRDefault="002451C2" w:rsidP="002451C2">
      <w:pPr>
        <w:spacing w:before="60"/>
        <w:ind w:left="2832" w:firstLine="708"/>
        <w:rPr>
          <w:rFonts w:ascii="Bookman Old Style" w:hAnsi="Bookman Old Style" w:cs="Bookman Old Style"/>
          <w:bCs/>
        </w:rPr>
      </w:pPr>
      <w:r w:rsidRPr="002451C2">
        <w:rPr>
          <w:rFonts w:ascii="Bookman Old Style" w:hAnsi="Bookman Old Style" w:cs="Bookman Old Style"/>
          <w:bCs/>
        </w:rPr>
        <w:t>Lublin, hotel</w:t>
      </w:r>
    </w:p>
    <w:p w:rsidR="002451C2" w:rsidRPr="002451C2" w:rsidRDefault="002451C2" w:rsidP="002451C2">
      <w:pPr>
        <w:spacing w:before="60"/>
        <w:ind w:left="2832" w:firstLine="708"/>
        <w:rPr>
          <w:rFonts w:ascii="Bookman Old Style" w:hAnsi="Bookman Old Style" w:cs="Bookman Old Style"/>
          <w:bCs/>
        </w:rPr>
      </w:pPr>
      <w:r w:rsidRPr="002451C2">
        <w:rPr>
          <w:rFonts w:ascii="Bookman Old Style" w:hAnsi="Bookman Old Style" w:cs="Bookman Old Style"/>
          <w:bCs/>
        </w:rPr>
        <w:t xml:space="preserve">Bliższe informacje zostaną podane w </w:t>
      </w:r>
      <w:r>
        <w:rPr>
          <w:rFonts w:ascii="Bookman Old Style" w:hAnsi="Bookman Old Style" w:cs="Bookman Old Style"/>
          <w:bCs/>
        </w:rPr>
        <w:t xml:space="preserve"> t</w:t>
      </w:r>
      <w:r w:rsidRPr="002451C2">
        <w:rPr>
          <w:rFonts w:ascii="Bookman Old Style" w:hAnsi="Bookman Old Style" w:cs="Bookman Old Style"/>
          <w:bCs/>
        </w:rPr>
        <w:t xml:space="preserve">erminie </w:t>
      </w:r>
      <w:r w:rsidR="00B429F2">
        <w:rPr>
          <w:rFonts w:ascii="Bookman Old Style" w:hAnsi="Bookman Old Style" w:cs="Bookman Old Style"/>
          <w:bCs/>
        </w:rPr>
        <w:tab/>
      </w:r>
      <w:r w:rsidRPr="002451C2">
        <w:rPr>
          <w:rFonts w:ascii="Bookman Old Style" w:hAnsi="Bookman Old Style" w:cs="Bookman Old Style"/>
          <w:bCs/>
        </w:rPr>
        <w:t>późniejszym</w:t>
      </w:r>
    </w:p>
    <w:p w:rsidR="003A4EF2" w:rsidRPr="00B429F2" w:rsidRDefault="003A4EF2" w:rsidP="003A4EF2">
      <w:pPr>
        <w:spacing w:line="276" w:lineRule="auto"/>
        <w:ind w:left="3540" w:firstLine="708"/>
        <w:rPr>
          <w:rFonts w:ascii="Bookman Old Style" w:hAnsi="Bookman Old Style"/>
          <w:sz w:val="16"/>
          <w:szCs w:val="16"/>
        </w:rPr>
      </w:pPr>
    </w:p>
    <w:p w:rsidR="003A4EF2" w:rsidRDefault="005D3217" w:rsidP="003A4EF2">
      <w:pPr>
        <w:spacing w:line="276" w:lineRule="auto"/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:rsidR="003A4EF2" w:rsidRPr="00B429F2" w:rsidRDefault="005D3217" w:rsidP="003A4EF2"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3A4EF2" w:rsidRDefault="003A4EF2" w:rsidP="003A4EF2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3A4EF2" w:rsidRDefault="003A4EF2" w:rsidP="003A4EF2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ul. Krakowskie Przedmieście 62, 20 - 076 Lublin</w:t>
      </w:r>
    </w:p>
    <w:p w:rsidR="003A4EF2" w:rsidRPr="00B429F2" w:rsidRDefault="003A4EF2" w:rsidP="00B429F2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tel. 81 440 87 10</w:t>
      </w:r>
    </w:p>
    <w:p w:rsidR="003A4EF2" w:rsidRDefault="005D3217" w:rsidP="003A4EF2">
      <w:pPr>
        <w:jc w:val="center"/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3A4EF2" w:rsidRDefault="005D3217" w:rsidP="003A4EF2">
      <w:pPr>
        <w:jc w:val="center"/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/>
          <w:sz w:val="22"/>
          <w:szCs w:val="22"/>
        </w:rPr>
        <w:t>organizacyjnie:</w:t>
      </w:r>
    </w:p>
    <w:p w:rsidR="003A4EF2" w:rsidRDefault="003A4EF2" w:rsidP="003A4E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Kister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16837">
        <w:rPr>
          <w:rFonts w:ascii="Bookman Old Style" w:hAnsi="Bookman Old Style"/>
          <w:sz w:val="22"/>
          <w:szCs w:val="22"/>
        </w:rPr>
        <w:t>główny specjalista Anna Szpakowska</w:t>
      </w:r>
    </w:p>
    <w:p w:rsidR="003A4EF2" w:rsidRPr="005D3217" w:rsidRDefault="00316837" w:rsidP="003A4EF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D3217">
        <w:rPr>
          <w:rFonts w:ascii="Bookman Old Style" w:hAnsi="Bookman Old Style"/>
          <w:sz w:val="22"/>
          <w:szCs w:val="22"/>
          <w:lang w:val="en-US"/>
        </w:rPr>
        <w:t>tel. 81 458 37 54</w:t>
      </w:r>
      <w:r w:rsidRPr="005D3217">
        <w:rPr>
          <w:rFonts w:ascii="Bookman Old Style" w:hAnsi="Bookman Old Style"/>
          <w:sz w:val="22"/>
          <w:szCs w:val="22"/>
          <w:lang w:val="en-US"/>
        </w:rPr>
        <w:tab/>
      </w:r>
      <w:r w:rsidRPr="005D3217">
        <w:rPr>
          <w:rFonts w:ascii="Bookman Old Style" w:hAnsi="Bookman Old Style"/>
          <w:sz w:val="22"/>
          <w:szCs w:val="22"/>
          <w:lang w:val="en-US"/>
        </w:rPr>
        <w:tab/>
      </w:r>
      <w:r w:rsidRPr="005D3217">
        <w:rPr>
          <w:rFonts w:ascii="Bookman Old Style" w:hAnsi="Bookman Old Style"/>
          <w:sz w:val="22"/>
          <w:szCs w:val="22"/>
          <w:lang w:val="en-US"/>
        </w:rPr>
        <w:tab/>
      </w:r>
      <w:r w:rsidRPr="005D3217"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3A4EF2" w:rsidRPr="00316837" w:rsidRDefault="003A4EF2" w:rsidP="003A4EF2">
      <w:pPr>
        <w:spacing w:before="60" w:line="276" w:lineRule="auto"/>
        <w:jc w:val="both"/>
        <w:rPr>
          <w:rStyle w:val="Hipercze"/>
          <w:rFonts w:ascii="Bookman Old Style" w:hAnsi="Bookman Old Style"/>
          <w:color w:val="auto"/>
          <w:u w:val="none"/>
          <w:lang w:val="en-US"/>
        </w:rPr>
      </w:pPr>
      <w:r w:rsidRPr="00316837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316837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Pr="00316837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316837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316837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9" w:history="1">
        <w:r w:rsidR="00316837" w:rsidRPr="00EA7A83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Pr="00316837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</w:p>
    <w:p w:rsidR="003A4EF2" w:rsidRDefault="003A4EF2" w:rsidP="003A4EF2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</w:p>
    <w:p w:rsidR="003A4EF2" w:rsidRDefault="005D3217" w:rsidP="00CD1658">
      <w:pPr>
        <w:spacing w:line="276" w:lineRule="auto"/>
        <w:ind w:left="284" w:hanging="284"/>
      </w:pPr>
      <w:r>
        <w:rPr>
          <w:rFonts w:ascii="Bookman Old Style" w:hAnsi="Bookman Old Style"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spacing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WYKŁADOWCY:</w:t>
      </w:r>
    </w:p>
    <w:p w:rsidR="003A4EF2" w:rsidRDefault="005D3217" w:rsidP="003A4EF2"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ind w:right="-709"/>
        <w:rPr>
          <w:rFonts w:ascii="Bookman Old Style" w:hAnsi="Bookman Old Style"/>
          <w:sz w:val="10"/>
          <w:szCs w:val="10"/>
        </w:rPr>
      </w:pPr>
    </w:p>
    <w:p w:rsidR="00CD1658" w:rsidRDefault="00331A99" w:rsidP="003A4EF2">
      <w:pPr>
        <w:jc w:val="both"/>
        <w:rPr>
          <w:rStyle w:val="Pogrubienie"/>
          <w:rFonts w:ascii="Bookman Old Style" w:hAnsi="Bookman Old Style"/>
        </w:rPr>
      </w:pPr>
      <w:r w:rsidRPr="00CD1658">
        <w:rPr>
          <w:rStyle w:val="Pogrubienie"/>
          <w:rFonts w:ascii="Bookman Old Style" w:hAnsi="Bookman Old Style"/>
        </w:rPr>
        <w:t>Mariusz Tchórzewski</w:t>
      </w:r>
    </w:p>
    <w:p w:rsidR="00CD1658" w:rsidRPr="00CD1658" w:rsidRDefault="00CD1658" w:rsidP="003A4EF2">
      <w:pPr>
        <w:jc w:val="both"/>
        <w:rPr>
          <w:rStyle w:val="Pogrubienie"/>
          <w:rFonts w:ascii="Bookman Old Style" w:hAnsi="Bookman Old Style"/>
          <w:sz w:val="16"/>
          <w:szCs w:val="16"/>
        </w:rPr>
      </w:pPr>
    </w:p>
    <w:p w:rsidR="003A4EF2" w:rsidRPr="00CD1658" w:rsidRDefault="00CD1658" w:rsidP="003A4EF2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CD1658">
        <w:rPr>
          <w:rFonts w:ascii="Bookman Old Style" w:hAnsi="Bookman Old Style"/>
        </w:rPr>
        <w:t>s</w:t>
      </w:r>
      <w:r w:rsidR="00331A99" w:rsidRPr="00CD1658">
        <w:rPr>
          <w:rFonts w:ascii="Bookman Old Style" w:hAnsi="Bookman Old Style"/>
        </w:rPr>
        <w:t>ędzia Sądu Okręgowego w Lublinie, wykładowca na szkoleniach dla sędziów, referendarzy oraz aplikantów adwokackich i radcowskich, współautor komentarza „Elektroniczne postępowanie upominawcze. Komentarz.” LEX 2010.</w:t>
      </w:r>
      <w:r w:rsidR="00331A99" w:rsidRPr="00CD1658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</w:t>
      </w:r>
    </w:p>
    <w:p w:rsidR="003A4EF2" w:rsidRDefault="003A4EF2" w:rsidP="003A4EF2">
      <w:pPr>
        <w:jc w:val="both"/>
        <w:rPr>
          <w:rStyle w:val="Pogrubienie"/>
          <w:sz w:val="10"/>
          <w:szCs w:val="10"/>
        </w:rPr>
      </w:pPr>
    </w:p>
    <w:p w:rsidR="00CD1658" w:rsidRPr="00CD1658" w:rsidRDefault="00CD1658" w:rsidP="00CD1658">
      <w:pPr>
        <w:spacing w:after="200"/>
        <w:ind w:left="2" w:hanging="1419"/>
        <w:jc w:val="both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eastAsia="Calibri" w:hAnsi="Bookman Old Style"/>
          <w:lang w:eastAsia="en-US"/>
        </w:rPr>
        <w:tab/>
      </w:r>
      <w:r w:rsidRPr="00CD1658">
        <w:rPr>
          <w:rFonts w:ascii="Bookman Old Style" w:eastAsia="Calibri" w:hAnsi="Bookman Old Style"/>
          <w:b/>
          <w:lang w:eastAsia="en-US"/>
        </w:rPr>
        <w:t>Krzysztof Górski</w:t>
      </w:r>
    </w:p>
    <w:p w:rsidR="00CD1658" w:rsidRPr="005D3217" w:rsidRDefault="00CD1658" w:rsidP="00CD1658">
      <w:pPr>
        <w:spacing w:after="200"/>
        <w:ind w:left="2" w:hanging="1419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ab/>
      </w:r>
      <w:r w:rsidR="005D3217" w:rsidRPr="005D3217">
        <w:rPr>
          <w:rFonts w:ascii="Bookman Old Style" w:hAnsi="Bookman Old Style"/>
        </w:rPr>
        <w:t>Sędzia Sądu Apelacyjnego w Szczecinie, w latach 2007 – 2009 wizytator do spraw gospodarczych w Sądzie Okręgowym w Szczecinie. Doświadczony wykładowca z zakresu procedury cywilnej oraz prawa gospodarczego, prowadzi szkolenia dla aplikantów, sędziów, radców prawnych.</w:t>
      </w:r>
    </w:p>
    <w:p w:rsidR="00CD1658" w:rsidRDefault="00CD1658" w:rsidP="00CD1658">
      <w:pPr>
        <w:jc w:val="both"/>
        <w:rPr>
          <w:rFonts w:ascii="Bookman Old Style" w:hAnsi="Bookman Old Style"/>
          <w:b/>
        </w:rPr>
      </w:pPr>
      <w:r w:rsidRPr="00CD1658">
        <w:rPr>
          <w:rFonts w:ascii="Bookman Old Style" w:hAnsi="Bookman Old Style"/>
          <w:b/>
        </w:rPr>
        <w:t>Michał Błoński</w:t>
      </w:r>
    </w:p>
    <w:p w:rsidR="006009D9" w:rsidRDefault="006009D9" w:rsidP="00CD1658">
      <w:pPr>
        <w:jc w:val="both"/>
        <w:rPr>
          <w:rFonts w:ascii="Bookman Old Style" w:hAnsi="Bookman Old Style"/>
          <w:sz w:val="16"/>
          <w:szCs w:val="16"/>
        </w:rPr>
      </w:pPr>
    </w:p>
    <w:p w:rsidR="00CD1658" w:rsidRPr="00CD1658" w:rsidRDefault="00CD1658" w:rsidP="00CD1658">
      <w:pPr>
        <w:jc w:val="both"/>
        <w:rPr>
          <w:rFonts w:ascii="Bookman Old Style" w:hAnsi="Bookman Old Style"/>
        </w:rPr>
      </w:pPr>
      <w:r w:rsidRPr="00CD1658">
        <w:rPr>
          <w:rFonts w:ascii="Bookman Old Style" w:hAnsi="Bookman Old Style"/>
        </w:rPr>
        <w:t>doktor nauk prawnych, sędzia Sądu Okręgowego w Łodzi.</w:t>
      </w:r>
    </w:p>
    <w:p w:rsidR="003A4EF2" w:rsidRDefault="003A4EF2" w:rsidP="003A4EF2">
      <w:pPr>
        <w:ind w:left="2832" w:right="-709" w:hanging="2832"/>
        <w:jc w:val="both"/>
        <w:rPr>
          <w:sz w:val="16"/>
          <w:szCs w:val="16"/>
        </w:rPr>
      </w:pPr>
    </w:p>
    <w:p w:rsidR="003A4EF2" w:rsidRDefault="003A4EF2" w:rsidP="003A4EF2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Zajęcia prowadzone będą w formie </w:t>
      </w:r>
      <w:r w:rsidR="00CD1658">
        <w:rPr>
          <w:rFonts w:ascii="Bookman Old Style" w:hAnsi="Bookman Old Style"/>
        </w:rPr>
        <w:t>seminarium.</w:t>
      </w:r>
      <w:bookmarkStart w:id="0" w:name="_GoBack"/>
      <w:bookmarkEnd w:id="0"/>
    </w:p>
    <w:p w:rsidR="00FD398C" w:rsidRDefault="00FD398C" w:rsidP="003A4EF2">
      <w:pPr>
        <w:spacing w:before="60"/>
        <w:rPr>
          <w:rFonts w:ascii="Bookman Old Style" w:hAnsi="Bookman Old Style"/>
        </w:rPr>
      </w:pPr>
    </w:p>
    <w:p w:rsidR="00FD398C" w:rsidRPr="00FD398C" w:rsidRDefault="00FD398C" w:rsidP="003A4EF2">
      <w:pPr>
        <w:spacing w:before="60"/>
        <w:rPr>
          <w:rFonts w:ascii="Bookman Old Style" w:hAnsi="Bookman Old Style"/>
          <w:b/>
          <w:color w:val="FF0000"/>
        </w:rPr>
      </w:pPr>
      <w:r w:rsidRPr="00FD398C">
        <w:rPr>
          <w:rFonts w:ascii="Bookman Old Style" w:hAnsi="Bookman Old Style"/>
          <w:b/>
          <w:color w:val="FF0000"/>
        </w:rPr>
        <w:t>GRUPA I</w:t>
      </w:r>
    </w:p>
    <w:p w:rsidR="00FD398C" w:rsidRDefault="002D7FFD" w:rsidP="002D7FFD">
      <w:pPr>
        <w:spacing w:before="60"/>
        <w:ind w:right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asystenci sędziów</w:t>
      </w:r>
      <w:r w:rsidR="00FD398C">
        <w:rPr>
          <w:rFonts w:ascii="Bookman Old Style" w:hAnsi="Bookman Old Style"/>
        </w:rPr>
        <w:t xml:space="preserve"> orzekający</w:t>
      </w:r>
      <w:r>
        <w:rPr>
          <w:rFonts w:ascii="Bookman Old Style" w:hAnsi="Bookman Old Style"/>
        </w:rPr>
        <w:t>ch</w:t>
      </w:r>
      <w:r w:rsidR="00FD398C">
        <w:rPr>
          <w:rFonts w:ascii="Bookman Old Style" w:hAnsi="Bookman Old Style"/>
        </w:rPr>
        <w:t xml:space="preserve"> w  wydzi</w:t>
      </w:r>
      <w:r>
        <w:rPr>
          <w:rFonts w:ascii="Bookman Old Style" w:hAnsi="Bookman Old Style"/>
        </w:rPr>
        <w:t xml:space="preserve">ałach cywilnych, gospodarczych, </w:t>
      </w:r>
      <w:r w:rsidR="00FD398C">
        <w:rPr>
          <w:rFonts w:ascii="Bookman Old Style" w:hAnsi="Bookman Old Style"/>
        </w:rPr>
        <w:t>rodzinnych i nieletnich oraz pracy i ubezpieczeń społecznych</w:t>
      </w:r>
      <w:r w:rsidR="006009D9">
        <w:rPr>
          <w:rFonts w:ascii="Bookman Old Style" w:hAnsi="Bookman Old Style"/>
        </w:rPr>
        <w:t>.</w:t>
      </w:r>
    </w:p>
    <w:p w:rsidR="00FD398C" w:rsidRPr="00FD398C" w:rsidRDefault="00FD398C" w:rsidP="003A4EF2">
      <w:pPr>
        <w:spacing w:before="60"/>
        <w:rPr>
          <w:rFonts w:ascii="Bookman Old Style" w:hAnsi="Bookman Old Style"/>
          <w:b/>
          <w:color w:val="FF0000"/>
        </w:rPr>
      </w:pPr>
      <w:r w:rsidRPr="00FD398C">
        <w:rPr>
          <w:rFonts w:ascii="Bookman Old Style" w:hAnsi="Bookman Old Style"/>
          <w:b/>
          <w:color w:val="FF0000"/>
        </w:rPr>
        <w:t>GRUPA II</w:t>
      </w:r>
    </w:p>
    <w:p w:rsidR="00FD398C" w:rsidRDefault="002D7FFD" w:rsidP="003A4EF2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asystenci sędziów orzekających </w:t>
      </w:r>
      <w:r w:rsidR="00FD398C">
        <w:rPr>
          <w:rFonts w:ascii="Bookman Old Style" w:hAnsi="Bookman Old Style"/>
        </w:rPr>
        <w:t>w wydziałach karnych</w:t>
      </w:r>
      <w:r w:rsidR="006009D9">
        <w:rPr>
          <w:rFonts w:ascii="Bookman Old Style" w:hAnsi="Bookman Old Style"/>
        </w:rPr>
        <w:t>.</w:t>
      </w:r>
    </w:p>
    <w:p w:rsidR="003A4EF2" w:rsidRDefault="003A4EF2" w:rsidP="003A4EF2">
      <w:pPr>
        <w:ind w:right="1"/>
        <w:rPr>
          <w:rFonts w:ascii="Bookman Old Style" w:hAnsi="Bookman Old Style"/>
          <w:b/>
        </w:rPr>
      </w:pPr>
    </w:p>
    <w:p w:rsidR="00CD1658" w:rsidRDefault="00CD1658" w:rsidP="003A4EF2">
      <w:pPr>
        <w:ind w:right="1"/>
        <w:rPr>
          <w:rFonts w:ascii="Bookman Old Style" w:hAnsi="Bookman Old Style"/>
          <w:b/>
        </w:rPr>
      </w:pPr>
    </w:p>
    <w:p w:rsidR="003A4EF2" w:rsidRDefault="003A4EF2" w:rsidP="003A4EF2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PROGRAM SZCZEGÓŁOWY</w:t>
      </w:r>
    </w:p>
    <w:p w:rsidR="00CD1658" w:rsidRDefault="00CD1658" w:rsidP="003A4EF2">
      <w:pPr>
        <w:ind w:right="1"/>
        <w:jc w:val="center"/>
        <w:rPr>
          <w:rFonts w:ascii="Bookman Old Style" w:hAnsi="Bookman Old Style"/>
          <w:b/>
        </w:rPr>
      </w:pPr>
    </w:p>
    <w:p w:rsidR="003A4EF2" w:rsidRDefault="003A4EF2" w:rsidP="003A4EF2">
      <w:pPr>
        <w:spacing w:line="360" w:lineRule="auto"/>
        <w:ind w:right="-709"/>
        <w:rPr>
          <w:rFonts w:ascii="Bookman Old Style" w:hAnsi="Bookman Old Style"/>
          <w:b/>
          <w:sz w:val="10"/>
          <w:szCs w:val="10"/>
        </w:rPr>
      </w:pPr>
    </w:p>
    <w:p w:rsidR="003A4EF2" w:rsidRDefault="005D3217" w:rsidP="003A4EF2">
      <w:pPr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B947C8" w:rsidP="003A4E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A4EF2">
        <w:rPr>
          <w:rFonts w:ascii="Bookman Old Style" w:hAnsi="Bookman Old Style"/>
          <w:b/>
        </w:rPr>
        <w:tab/>
      </w:r>
      <w:r w:rsidR="003A4EF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18 kwietnia</w:t>
      </w:r>
      <w:r w:rsidR="003A4EF2">
        <w:rPr>
          <w:rFonts w:ascii="Bookman Old Style" w:hAnsi="Bookman Old Style"/>
          <w:b/>
        </w:rPr>
        <w:t xml:space="preserve"> 2018 r.</w:t>
      </w:r>
    </w:p>
    <w:p w:rsidR="003A4EF2" w:rsidRDefault="005D3217" w:rsidP="003A4EF2">
      <w:pPr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3A4EF2" w:rsidP="003A4EF2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3A4EF2" w:rsidRDefault="002451C2" w:rsidP="003A4E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 godz. </w:t>
      </w:r>
      <w:r w:rsidR="003A4EF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2.00</w:t>
      </w:r>
      <w:r w:rsidR="003A4EF2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ab/>
        <w:t>zakwaterowanie uczestników</w:t>
      </w:r>
      <w:r>
        <w:rPr>
          <w:rFonts w:ascii="Bookman Old Style" w:hAnsi="Bookman Old Style"/>
        </w:rPr>
        <w:t xml:space="preserve"> w hotelu</w:t>
      </w: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3A4EF2" w:rsidRDefault="003A4EF2" w:rsidP="003A4E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451C2">
        <w:rPr>
          <w:rFonts w:ascii="Bookman Old Style" w:hAnsi="Bookman Old Style"/>
        </w:rPr>
        <w:t>lunch w</w:t>
      </w:r>
      <w:r w:rsidR="00EC6823">
        <w:rPr>
          <w:rFonts w:ascii="Bookman Old Style" w:hAnsi="Bookman Old Style"/>
        </w:rPr>
        <w:t xml:space="preserve"> </w:t>
      </w:r>
      <w:proofErr w:type="spellStart"/>
      <w:r w:rsidR="00EC6823">
        <w:rPr>
          <w:rFonts w:ascii="Bookman Old Style" w:hAnsi="Bookman Old Style"/>
        </w:rPr>
        <w:t>K</w:t>
      </w:r>
      <w:r w:rsidR="002451C2">
        <w:rPr>
          <w:rFonts w:ascii="Bookman Old Style" w:hAnsi="Bookman Old Style"/>
        </w:rPr>
        <w:t>SSiP</w:t>
      </w:r>
      <w:proofErr w:type="spellEnd"/>
    </w:p>
    <w:p w:rsidR="003A4EF2" w:rsidRDefault="003A4EF2" w:rsidP="003A4EF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A4EF2" w:rsidRDefault="003A4EF2" w:rsidP="003A4EF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B947C8" w:rsidRDefault="003A4EF2" w:rsidP="002451C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="00135A92" w:rsidRPr="00135A92">
        <w:rPr>
          <w:rFonts w:ascii="Bookman Old Style" w:hAnsi="Bookman Old Style"/>
          <w:b/>
          <w:color w:val="FF0000"/>
          <w:szCs w:val="24"/>
        </w:rPr>
        <w:t>GRUPA I</w:t>
      </w:r>
    </w:p>
    <w:p w:rsidR="00135A92" w:rsidRPr="00135A92" w:rsidRDefault="00135A92" w:rsidP="00135A9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</w:rPr>
        <w:t>Kompetencje asystenta sędziego:</w:t>
      </w:r>
    </w:p>
    <w:p w:rsidR="00135A92" w:rsidRPr="00135A92" w:rsidRDefault="00135A92" w:rsidP="001F7781">
      <w:pPr>
        <w:pStyle w:val="Akapitzlist"/>
        <w:numPr>
          <w:ilvl w:val="0"/>
          <w:numId w:val="2"/>
        </w:numPr>
        <w:ind w:left="3261"/>
        <w:jc w:val="both"/>
        <w:rPr>
          <w:rFonts w:ascii="Bookman Old Style" w:hAnsi="Bookman Old Style"/>
          <w:b/>
        </w:rPr>
      </w:pPr>
      <w:r w:rsidRPr="00135A92">
        <w:rPr>
          <w:rFonts w:ascii="Bookman Old Style" w:hAnsi="Bookman Old Style"/>
          <w:b/>
        </w:rPr>
        <w:t>regulacje ustawy o ustroju sądów powszechnych</w:t>
      </w:r>
      <w:r w:rsidR="001F7781">
        <w:rPr>
          <w:rFonts w:ascii="Bookman Old Style" w:hAnsi="Bookman Old Style"/>
          <w:b/>
        </w:rPr>
        <w:t>,</w:t>
      </w:r>
    </w:p>
    <w:p w:rsidR="00135A92" w:rsidRPr="00135A92" w:rsidRDefault="00135A92" w:rsidP="001F7781">
      <w:pPr>
        <w:pStyle w:val="Akapitzlist"/>
        <w:numPr>
          <w:ilvl w:val="0"/>
          <w:numId w:val="2"/>
        </w:numPr>
        <w:ind w:left="3261"/>
        <w:jc w:val="both"/>
        <w:rPr>
          <w:rFonts w:ascii="Bookman Old Style" w:hAnsi="Bookman Old Style"/>
          <w:b/>
        </w:rPr>
      </w:pPr>
      <w:r w:rsidRPr="00135A92">
        <w:rPr>
          <w:rFonts w:ascii="Bookman Old Style" w:hAnsi="Bookman Old Style"/>
          <w:b/>
        </w:rPr>
        <w:t xml:space="preserve">zadania asystenta sędziego w sprawach cywilnych, gospodarczych, rodzinnych </w:t>
      </w:r>
      <w:r w:rsidR="006009D9">
        <w:rPr>
          <w:rFonts w:ascii="Bookman Old Style" w:hAnsi="Bookman Old Style"/>
          <w:b/>
        </w:rPr>
        <w:br/>
      </w:r>
      <w:r w:rsidRPr="00135A92">
        <w:rPr>
          <w:rFonts w:ascii="Bookman Old Style" w:hAnsi="Bookman Old Style"/>
          <w:b/>
        </w:rPr>
        <w:lastRenderedPageBreak/>
        <w:t>i nieletnich, pracy i ubezpieczeń społecznych – aspekt praktyczny</w:t>
      </w:r>
      <w:r w:rsidR="001F7781">
        <w:rPr>
          <w:rFonts w:ascii="Bookman Old Style" w:hAnsi="Bookman Old Style"/>
          <w:b/>
        </w:rPr>
        <w:t>.</w:t>
      </w:r>
    </w:p>
    <w:p w:rsidR="00135A92" w:rsidRDefault="00135A92" w:rsidP="00135A9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35A92">
        <w:rPr>
          <w:rFonts w:ascii="Bookman Old Style" w:hAnsi="Bookman Old Style"/>
          <w:szCs w:val="24"/>
        </w:rPr>
        <w:t>Prowadzenie – Mariusz Tchórzewski</w:t>
      </w:r>
    </w:p>
    <w:p w:rsidR="001F7781" w:rsidRPr="001F7781" w:rsidRDefault="001F7781" w:rsidP="00135A9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947C8" w:rsidRDefault="00B947C8" w:rsidP="002451C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Pr="00B947C8">
        <w:rPr>
          <w:rFonts w:ascii="Bookman Old Style" w:hAnsi="Bookman Old Style"/>
          <w:b/>
          <w:color w:val="FF0000"/>
          <w:szCs w:val="24"/>
        </w:rPr>
        <w:t>GRUPA II</w:t>
      </w:r>
    </w:p>
    <w:p w:rsidR="003A4EF2" w:rsidRPr="00B947C8" w:rsidRDefault="00B947C8" w:rsidP="002451C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E39F3" w:rsidRPr="00B947C8">
        <w:rPr>
          <w:rFonts w:ascii="Bookman Old Style" w:hAnsi="Bookman Old Style"/>
          <w:b/>
        </w:rPr>
        <w:t xml:space="preserve">Usytuowanie asystenta sędziego w strukturze organizacyjnej sądu. Kompetencje </w:t>
      </w:r>
      <w:r w:rsidR="006009D9">
        <w:rPr>
          <w:rFonts w:ascii="Bookman Old Style" w:hAnsi="Bookman Old Style"/>
          <w:b/>
        </w:rPr>
        <w:br/>
      </w:r>
      <w:r w:rsidR="002E39F3" w:rsidRPr="00B947C8">
        <w:rPr>
          <w:rFonts w:ascii="Bookman Old Style" w:hAnsi="Bookman Old Style"/>
          <w:b/>
        </w:rPr>
        <w:t>i odpowiedzialność dyscyplinarna asystenta sędziego.</w:t>
      </w:r>
    </w:p>
    <w:p w:rsidR="003A4EF2" w:rsidRPr="006009D9" w:rsidRDefault="003A4EF2" w:rsidP="006009D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Prowadzenie – </w:t>
      </w:r>
      <w:r w:rsidR="00B947C8" w:rsidRPr="00B947C8">
        <w:rPr>
          <w:rFonts w:ascii="Bookman Old Style" w:hAnsi="Bookman Old Style"/>
          <w:szCs w:val="24"/>
        </w:rPr>
        <w:t>Michał Błoński</w:t>
      </w:r>
    </w:p>
    <w:p w:rsidR="003A4EF2" w:rsidRPr="006009D9" w:rsidRDefault="006009D9" w:rsidP="006009D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</w:p>
    <w:p w:rsidR="003A4EF2" w:rsidRDefault="003A4EF2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16.30 – 16.45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3A4EF2" w:rsidRDefault="003A4EF2" w:rsidP="003A4EF2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</w:p>
    <w:p w:rsidR="001F7781" w:rsidRDefault="003A4EF2" w:rsidP="001F7781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 xml:space="preserve">16.45 – 18.15 </w:t>
      </w:r>
      <w:r>
        <w:rPr>
          <w:rFonts w:ascii="Bookman Old Style" w:hAnsi="Bookman Old Style"/>
          <w:b/>
        </w:rPr>
        <w:tab/>
      </w:r>
      <w:r w:rsidR="002E39F3"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 w:rsidRPr="001F7781">
        <w:rPr>
          <w:rFonts w:ascii="Bookman Old Style" w:hAnsi="Bookman Old Style"/>
          <w:b/>
          <w:color w:val="FF0000"/>
        </w:rPr>
        <w:t>GRUPA I</w:t>
      </w:r>
    </w:p>
    <w:p w:rsidR="001F7781" w:rsidRPr="001F7781" w:rsidRDefault="001F7781" w:rsidP="001F7781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 w:rsidRPr="001F7781">
        <w:rPr>
          <w:rFonts w:ascii="Bookman Old Style" w:hAnsi="Bookman Old Style"/>
          <w:b/>
        </w:rPr>
        <w:t>Orzeczenia i zarządzenia: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 xml:space="preserve">rodzaje orzeczeń i zarządzeń </w:t>
      </w:r>
      <w:r>
        <w:rPr>
          <w:rFonts w:ascii="Bookman Old Style" w:hAnsi="Bookman Old Style"/>
          <w:b/>
        </w:rPr>
        <w:br/>
      </w:r>
      <w:r w:rsidRPr="001F7781">
        <w:rPr>
          <w:rFonts w:ascii="Bookman Old Style" w:hAnsi="Bookman Old Style"/>
          <w:b/>
        </w:rPr>
        <w:t>w postępowaniach cywilnych</w:t>
      </w:r>
      <w:r>
        <w:rPr>
          <w:rFonts w:ascii="Bookman Old Style" w:hAnsi="Bookman Old Style"/>
          <w:b/>
        </w:rPr>
        <w:t>,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struktura orzeczeń i zarządzeń:</w:t>
      </w:r>
    </w:p>
    <w:p w:rsidR="001F7781" w:rsidRPr="001F7781" w:rsidRDefault="001F7781" w:rsidP="001F7781">
      <w:pPr>
        <w:numPr>
          <w:ilvl w:val="1"/>
          <w:numId w:val="3"/>
        </w:numPr>
        <w:spacing w:before="120"/>
        <w:ind w:left="3686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komparycja (rubrum)</w:t>
      </w:r>
    </w:p>
    <w:p w:rsidR="001F7781" w:rsidRPr="001F7781" w:rsidRDefault="001F7781" w:rsidP="001F7781">
      <w:pPr>
        <w:numPr>
          <w:ilvl w:val="1"/>
          <w:numId w:val="3"/>
        </w:numPr>
        <w:spacing w:before="120"/>
        <w:ind w:left="3686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formuła (tenor)</w:t>
      </w:r>
    </w:p>
    <w:p w:rsidR="001F7781" w:rsidRPr="001F7781" w:rsidRDefault="001F7781" w:rsidP="001F7781">
      <w:pPr>
        <w:numPr>
          <w:ilvl w:val="1"/>
          <w:numId w:val="3"/>
        </w:numPr>
        <w:spacing w:before="120"/>
        <w:ind w:left="3686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uzasadnienie (motywy)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zaskarżalność orzeczeń w postępowaniu cywilnym</w:t>
      </w:r>
      <w:r>
        <w:rPr>
          <w:rFonts w:ascii="Bookman Old Style" w:hAnsi="Bookman Old Style"/>
          <w:b/>
        </w:rPr>
        <w:t>,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pouczenia kierowane do stron</w:t>
      </w:r>
      <w:r>
        <w:rPr>
          <w:rFonts w:ascii="Bookman Old Style" w:hAnsi="Bookman Old Style"/>
          <w:b/>
        </w:rPr>
        <w:t>.</w:t>
      </w:r>
    </w:p>
    <w:p w:rsidR="001F7781" w:rsidRDefault="001F7781" w:rsidP="001F778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 w:rsidRPr="001F7781">
        <w:rPr>
          <w:rFonts w:ascii="Bookman Old Style" w:hAnsi="Bookman Old Style"/>
        </w:rPr>
        <w:t>Prowadzenie – Mariusz Tchórzewski</w:t>
      </w:r>
    </w:p>
    <w:p w:rsidR="001F7781" w:rsidRPr="001F7781" w:rsidRDefault="001F7781" w:rsidP="001F7781">
      <w:pPr>
        <w:spacing w:line="360" w:lineRule="auto"/>
        <w:jc w:val="both"/>
        <w:rPr>
          <w:rFonts w:ascii="Bookman Old Style" w:hAnsi="Bookman Old Style"/>
          <w:b/>
          <w:color w:val="FF0000"/>
          <w:sz w:val="16"/>
          <w:szCs w:val="16"/>
        </w:rPr>
      </w:pPr>
    </w:p>
    <w:p w:rsidR="00B947C8" w:rsidRDefault="00B947C8" w:rsidP="00B947C8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35A92">
        <w:rPr>
          <w:rFonts w:ascii="Bookman Old Style" w:hAnsi="Bookman Old Style"/>
          <w:b/>
        </w:rPr>
        <w:tab/>
      </w:r>
      <w:r w:rsidR="00135A92">
        <w:rPr>
          <w:rFonts w:ascii="Bookman Old Style" w:hAnsi="Bookman Old Style"/>
          <w:b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2E39F3" w:rsidRPr="00B947C8" w:rsidRDefault="002E39F3" w:rsidP="00B947C8">
      <w:pPr>
        <w:spacing w:line="276" w:lineRule="auto"/>
        <w:ind w:left="2835"/>
        <w:jc w:val="both"/>
        <w:rPr>
          <w:rFonts w:ascii="Bookman Old Style" w:hAnsi="Bookman Old Style"/>
          <w:b/>
        </w:rPr>
      </w:pPr>
      <w:r w:rsidRPr="00B947C8">
        <w:rPr>
          <w:rFonts w:ascii="Bookman Old Style" w:hAnsi="Bookman Old Style"/>
          <w:b/>
        </w:rPr>
        <w:t>Ro</w:t>
      </w:r>
      <w:r w:rsidR="00B947C8">
        <w:rPr>
          <w:rFonts w:ascii="Bookman Old Style" w:hAnsi="Bookman Old Style"/>
          <w:b/>
        </w:rPr>
        <w:t xml:space="preserve">la asystenta w ramach czynności </w:t>
      </w:r>
      <w:r w:rsidRPr="00B947C8">
        <w:rPr>
          <w:rFonts w:ascii="Bookman Old Style" w:hAnsi="Bookman Old Style"/>
          <w:b/>
        </w:rPr>
        <w:t>poprzedzających wyznaczenie rozprawy lub posiedzenia (wstępna kontrola aktu oskarżenia, właściwość są</w:t>
      </w:r>
      <w:r w:rsidR="00B947C8">
        <w:rPr>
          <w:rFonts w:ascii="Bookman Old Style" w:hAnsi="Bookman Old Style"/>
          <w:b/>
        </w:rPr>
        <w:t xml:space="preserve">du, kontrola akt, występowanie </w:t>
      </w:r>
      <w:r w:rsidRPr="00B947C8">
        <w:rPr>
          <w:rFonts w:ascii="Bookman Old Style" w:hAnsi="Bookman Old Style"/>
          <w:b/>
        </w:rPr>
        <w:t>do instytucji o nadesłanie informacji lub dokumentów). Zarządzanie sprawami.</w:t>
      </w:r>
    </w:p>
    <w:p w:rsidR="003A4EF2" w:rsidRDefault="00B947C8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3A4EF2">
        <w:rPr>
          <w:rFonts w:ascii="Bookman Old Style" w:hAnsi="Bookman Old Style"/>
          <w:szCs w:val="24"/>
        </w:rPr>
        <w:t xml:space="preserve">Prowadzenie – </w:t>
      </w:r>
      <w:r w:rsidRPr="00B947C8">
        <w:rPr>
          <w:rFonts w:ascii="Bookman Old Style" w:hAnsi="Bookman Old Style"/>
          <w:szCs w:val="24"/>
        </w:rPr>
        <w:t>Michał Błoński</w:t>
      </w:r>
    </w:p>
    <w:p w:rsidR="00B947C8" w:rsidRPr="006009D9" w:rsidRDefault="00B947C8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3A4EF2" w:rsidRDefault="003A4EF2" w:rsidP="003A4EF2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3A4EF2" w:rsidRDefault="002451C2" w:rsidP="003A4E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3A4EF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3A4EF2">
        <w:rPr>
          <w:rFonts w:ascii="Bookman Old Style" w:hAnsi="Bookman Old Style"/>
        </w:rPr>
        <w:t xml:space="preserve">0 </w:t>
      </w:r>
      <w:r w:rsidR="003A4EF2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ab/>
        <w:t>kolacja</w:t>
      </w:r>
      <w:r>
        <w:rPr>
          <w:rFonts w:ascii="Bookman Old Style" w:hAnsi="Bookman Old Style"/>
        </w:rPr>
        <w:t xml:space="preserve"> w hotelu</w:t>
      </w:r>
    </w:p>
    <w:p w:rsidR="00AB0195" w:rsidRDefault="00AB0195" w:rsidP="003A4EF2">
      <w:pPr>
        <w:jc w:val="both"/>
        <w:rPr>
          <w:rFonts w:ascii="Bookman Old Style" w:hAnsi="Bookman Old Style"/>
          <w:sz w:val="10"/>
          <w:szCs w:val="10"/>
        </w:rPr>
      </w:pPr>
    </w:p>
    <w:p w:rsidR="003A4EF2" w:rsidRDefault="005D3217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B947C8" w:rsidP="003A4E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3A4EF2">
        <w:rPr>
          <w:rFonts w:ascii="Bookman Old Style" w:hAnsi="Bookman Old Style"/>
          <w:b/>
        </w:rPr>
        <w:tab/>
        <w:t xml:space="preserve"> </w:t>
      </w:r>
      <w:r w:rsidR="003A4EF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19 kwietnia </w:t>
      </w:r>
      <w:r w:rsidR="003A4EF2">
        <w:rPr>
          <w:rFonts w:ascii="Bookman Old Style" w:hAnsi="Bookman Old Style"/>
          <w:b/>
        </w:rPr>
        <w:t>2018 r.</w:t>
      </w:r>
    </w:p>
    <w:p w:rsidR="003A4EF2" w:rsidRDefault="005D3217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2451C2" w:rsidP="003A4EF2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</w:t>
      </w:r>
      <w:r w:rsidR="003A4EF2">
        <w:rPr>
          <w:rFonts w:ascii="Bookman Old Style" w:hAnsi="Bookman Old Style"/>
          <w:szCs w:val="24"/>
        </w:rPr>
        <w:t xml:space="preserve">.00 – </w:t>
      </w:r>
      <w:r>
        <w:rPr>
          <w:rFonts w:ascii="Bookman Old Style" w:hAnsi="Bookman Old Style"/>
          <w:szCs w:val="24"/>
        </w:rPr>
        <w:t>8</w:t>
      </w:r>
      <w:r w:rsidR="003A4EF2">
        <w:rPr>
          <w:rFonts w:ascii="Bookman Old Style" w:hAnsi="Bookman Old Style"/>
          <w:szCs w:val="24"/>
        </w:rPr>
        <w:t xml:space="preserve">.00      </w:t>
      </w:r>
      <w:r w:rsidR="003A4EF2">
        <w:rPr>
          <w:rFonts w:ascii="Bookman Old Style" w:hAnsi="Bookman Old Style"/>
          <w:szCs w:val="24"/>
        </w:rPr>
        <w:tab/>
        <w:t>śniadanie</w:t>
      </w:r>
      <w:r>
        <w:rPr>
          <w:rFonts w:ascii="Bookman Old Style" w:hAnsi="Bookman Old Style"/>
          <w:szCs w:val="24"/>
        </w:rPr>
        <w:t xml:space="preserve"> w hotelu</w:t>
      </w:r>
    </w:p>
    <w:p w:rsidR="003A4EF2" w:rsidRDefault="003A4EF2" w:rsidP="003A4EF2">
      <w:pPr>
        <w:tabs>
          <w:tab w:val="left" w:pos="2430"/>
        </w:tabs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35A92" w:rsidRDefault="003A4EF2" w:rsidP="00DF5613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DF5613">
        <w:rPr>
          <w:rFonts w:ascii="Bookman Old Style" w:hAnsi="Bookman Old Style"/>
        </w:rPr>
        <w:tab/>
      </w:r>
      <w:r w:rsidR="001F7781">
        <w:rPr>
          <w:rFonts w:ascii="Bookman Old Style" w:hAnsi="Bookman Old Style"/>
        </w:rPr>
        <w:tab/>
      </w:r>
      <w:r w:rsidR="001F7781">
        <w:rPr>
          <w:rFonts w:ascii="Bookman Old Style" w:hAnsi="Bookman Old Style"/>
        </w:rPr>
        <w:tab/>
      </w:r>
      <w:r w:rsidR="001F7781" w:rsidRPr="001F7781">
        <w:rPr>
          <w:rFonts w:ascii="Bookman Old Style" w:hAnsi="Bookman Old Style"/>
          <w:b/>
          <w:color w:val="FF0000"/>
        </w:rPr>
        <w:t>GRUPA I</w:t>
      </w:r>
    </w:p>
    <w:p w:rsidR="001F7781" w:rsidRPr="001F7781" w:rsidRDefault="001F7781" w:rsidP="001F7781">
      <w:pPr>
        <w:tabs>
          <w:tab w:val="left" w:pos="0"/>
        </w:tabs>
        <w:spacing w:after="60"/>
        <w:ind w:left="2832" w:hanging="2832"/>
        <w:jc w:val="both"/>
        <w:rPr>
          <w:rFonts w:ascii="Bookman Old Style" w:eastAsia="Calibri" w:hAnsi="Bookman Old Style"/>
          <w:b/>
          <w:color w:val="000000"/>
          <w:szCs w:val="20"/>
        </w:rPr>
      </w:pPr>
      <w:r>
        <w:rPr>
          <w:rFonts w:ascii="Bookman Old Style" w:hAnsi="Bookman Old Style"/>
          <w:b/>
          <w:color w:val="FF0000"/>
        </w:rPr>
        <w:tab/>
      </w:r>
      <w:r w:rsidRPr="001F7781">
        <w:rPr>
          <w:rFonts w:ascii="Bookman Old Style" w:eastAsia="Calibri" w:hAnsi="Bookman Old Style"/>
          <w:b/>
          <w:color w:val="000000"/>
          <w:szCs w:val="20"/>
        </w:rPr>
        <w:t>Uzasadnianie orzeczeń i zarządzeń: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>struktura uzasadnienia</w:t>
      </w:r>
      <w:r>
        <w:rPr>
          <w:rFonts w:ascii="Bookman Old Style" w:hAnsi="Bookman Old Style"/>
          <w:b/>
          <w:bCs/>
        </w:rPr>
        <w:t>,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lastRenderedPageBreak/>
        <w:t>obligatoryjne elementy</w:t>
      </w:r>
      <w:r>
        <w:rPr>
          <w:rFonts w:ascii="Bookman Old Style" w:hAnsi="Bookman Old Style"/>
          <w:b/>
          <w:bCs/>
        </w:rPr>
        <w:t>,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 xml:space="preserve">technika </w:t>
      </w:r>
      <w:proofErr w:type="spellStart"/>
      <w:r w:rsidRPr="001F7781">
        <w:rPr>
          <w:rFonts w:ascii="Bookman Old Style" w:hAnsi="Bookman Old Style"/>
          <w:b/>
          <w:bCs/>
        </w:rPr>
        <w:t>cytowań</w:t>
      </w:r>
      <w:proofErr w:type="spellEnd"/>
      <w:r w:rsidRPr="001F7781">
        <w:rPr>
          <w:rFonts w:ascii="Bookman Old Style" w:hAnsi="Bookman Old Style"/>
          <w:b/>
          <w:bCs/>
        </w:rPr>
        <w:t xml:space="preserve"> i </w:t>
      </w:r>
      <w:proofErr w:type="spellStart"/>
      <w:r w:rsidRPr="001F7781">
        <w:rPr>
          <w:rFonts w:ascii="Bookman Old Style" w:hAnsi="Bookman Old Style"/>
          <w:b/>
          <w:bCs/>
        </w:rPr>
        <w:t>odwołań</w:t>
      </w:r>
      <w:proofErr w:type="spellEnd"/>
      <w:r>
        <w:rPr>
          <w:rFonts w:ascii="Bookman Old Style" w:hAnsi="Bookman Old Style"/>
          <w:b/>
          <w:bCs/>
        </w:rPr>
        <w:t>,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>najczęstsze błędy metodologiczne i językowe uzasadnień</w:t>
      </w:r>
      <w:r>
        <w:rPr>
          <w:rFonts w:ascii="Bookman Old Style" w:hAnsi="Bookman Old Style"/>
          <w:b/>
          <w:bCs/>
        </w:rPr>
        <w:t>.</w:t>
      </w:r>
    </w:p>
    <w:p w:rsidR="001F7781" w:rsidRDefault="001F7781" w:rsidP="001F778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 w:rsidRPr="001F7781">
        <w:rPr>
          <w:rFonts w:ascii="Bookman Old Style" w:hAnsi="Bookman Old Style"/>
        </w:rPr>
        <w:t>Prowadzenie – Mariusz Tchórzewsk</w:t>
      </w:r>
      <w:r>
        <w:rPr>
          <w:rFonts w:ascii="Bookman Old Style" w:hAnsi="Bookman Old Style"/>
        </w:rPr>
        <w:t>i</w:t>
      </w:r>
    </w:p>
    <w:p w:rsidR="001F7781" w:rsidRPr="001F7781" w:rsidRDefault="001F7781" w:rsidP="001F7781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35A92" w:rsidRDefault="00135A92" w:rsidP="00135A92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DF5613" w:rsidRPr="00135A92" w:rsidRDefault="00135A92" w:rsidP="00135A92">
      <w:pPr>
        <w:spacing w:line="276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DF5613" w:rsidRPr="00135A92">
        <w:rPr>
          <w:rFonts w:ascii="Bookman Old Style" w:hAnsi="Bookman Old Style"/>
          <w:b/>
        </w:rPr>
        <w:t xml:space="preserve">Reguły sporządzania projektów postanowień </w:t>
      </w:r>
      <w:r>
        <w:rPr>
          <w:rFonts w:ascii="Bookman Old Style" w:hAnsi="Bookman Old Style"/>
          <w:b/>
        </w:rPr>
        <w:br/>
      </w:r>
      <w:r w:rsidR="00DF5613" w:rsidRPr="00135A92">
        <w:rPr>
          <w:rFonts w:ascii="Bookman Old Style" w:hAnsi="Bookman Old Style"/>
          <w:b/>
        </w:rPr>
        <w:t xml:space="preserve">i zarządzeń ze </w:t>
      </w:r>
      <w:r>
        <w:rPr>
          <w:rFonts w:ascii="Bookman Old Style" w:hAnsi="Bookman Old Style"/>
          <w:b/>
        </w:rPr>
        <w:t xml:space="preserve">szczególnym uwzględnieniem </w:t>
      </w:r>
      <w:r w:rsidR="00DF5613" w:rsidRPr="00135A92">
        <w:rPr>
          <w:rFonts w:ascii="Bookman Old Style" w:hAnsi="Bookman Old Style"/>
          <w:b/>
        </w:rPr>
        <w:t>środków przymusu.</w:t>
      </w:r>
      <w:r w:rsidR="00DF5613" w:rsidRPr="00DF5613">
        <w:rPr>
          <w:b/>
        </w:rPr>
        <w:t xml:space="preserve"> </w:t>
      </w:r>
    </w:p>
    <w:p w:rsidR="003A4EF2" w:rsidRPr="002451C2" w:rsidRDefault="00135A92" w:rsidP="00135A92">
      <w:pPr>
        <w:pStyle w:val="Tekstpodstawowy"/>
        <w:tabs>
          <w:tab w:val="left" w:pos="0"/>
        </w:tabs>
        <w:spacing w:line="276" w:lineRule="auto"/>
        <w:ind w:left="2832" w:hanging="2832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szCs w:val="24"/>
        </w:rPr>
        <w:t xml:space="preserve">Prowadzenie – </w:t>
      </w:r>
      <w:r w:rsidRPr="00B947C8">
        <w:rPr>
          <w:rFonts w:ascii="Bookman Old Style" w:hAnsi="Bookman Old Style"/>
          <w:szCs w:val="24"/>
        </w:rPr>
        <w:t>Michał Błoński</w:t>
      </w:r>
    </w:p>
    <w:p w:rsidR="003A4EF2" w:rsidRDefault="003A4EF2" w:rsidP="002451C2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>przerwa</w:t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35A92" w:rsidRDefault="003A4EF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 w:rsidRPr="001F7781">
        <w:rPr>
          <w:rFonts w:ascii="Bookman Old Style" w:hAnsi="Bookman Old Style"/>
          <w:b/>
          <w:color w:val="FF0000"/>
        </w:rPr>
        <w:t>GRUPA I</w:t>
      </w:r>
    </w:p>
    <w:p w:rsidR="001F7781" w:rsidRDefault="001F7781" w:rsidP="00F26453">
      <w:pPr>
        <w:ind w:left="2832" w:hanging="2832"/>
        <w:jc w:val="both"/>
        <w:rPr>
          <w:rFonts w:ascii="Bookman Old Style" w:eastAsia="Calibri" w:hAnsi="Bookman Old Style"/>
          <w:b/>
          <w:color w:val="000000"/>
          <w:szCs w:val="20"/>
        </w:rPr>
      </w:pPr>
      <w:r>
        <w:rPr>
          <w:rFonts w:ascii="Bookman Old Style" w:hAnsi="Bookman Old Style"/>
          <w:b/>
        </w:rPr>
        <w:tab/>
      </w:r>
      <w:r w:rsidRPr="001F7781">
        <w:rPr>
          <w:rFonts w:ascii="Bookman Old Style" w:eastAsia="Calibri" w:hAnsi="Bookman Old Style"/>
          <w:b/>
          <w:color w:val="000000"/>
          <w:szCs w:val="20"/>
        </w:rPr>
        <w:t>Uz</w:t>
      </w:r>
      <w:r>
        <w:rPr>
          <w:rFonts w:ascii="Bookman Old Style" w:eastAsia="Calibri" w:hAnsi="Bookman Old Style"/>
          <w:b/>
          <w:color w:val="000000"/>
          <w:szCs w:val="20"/>
        </w:rPr>
        <w:t>asadnianie orzeczeń i zarządzeń…-</w:t>
      </w:r>
      <w:r w:rsidRPr="001F7781">
        <w:rPr>
          <w:rFonts w:ascii="Bookman Old Style" w:eastAsia="Calibri" w:hAnsi="Bookman Old Style"/>
          <w:b/>
          <w:color w:val="000000"/>
          <w:szCs w:val="20"/>
        </w:rPr>
        <w:t>c</w:t>
      </w:r>
      <w:r>
        <w:rPr>
          <w:rFonts w:ascii="Bookman Old Style" w:eastAsia="Calibri" w:hAnsi="Bookman Old Style"/>
          <w:b/>
          <w:color w:val="000000"/>
          <w:szCs w:val="20"/>
        </w:rPr>
        <w:t xml:space="preserve">iąg </w:t>
      </w:r>
      <w:r w:rsidRPr="001F7781">
        <w:rPr>
          <w:rFonts w:ascii="Bookman Old Style" w:eastAsia="Calibri" w:hAnsi="Bookman Old Style"/>
          <w:b/>
          <w:color w:val="000000"/>
          <w:szCs w:val="20"/>
        </w:rPr>
        <w:t>d</w:t>
      </w:r>
      <w:r>
        <w:rPr>
          <w:rFonts w:ascii="Bookman Old Style" w:eastAsia="Calibri" w:hAnsi="Bookman Old Style"/>
          <w:b/>
          <w:color w:val="000000"/>
          <w:szCs w:val="20"/>
        </w:rPr>
        <w:t>alszy</w:t>
      </w:r>
    </w:p>
    <w:p w:rsidR="001F7781" w:rsidRDefault="001F7781" w:rsidP="00F26453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b/>
          <w:color w:val="000000"/>
          <w:szCs w:val="20"/>
        </w:rPr>
        <w:tab/>
      </w:r>
      <w:r w:rsidRPr="001F7781">
        <w:rPr>
          <w:rFonts w:ascii="Bookman Old Style" w:hAnsi="Bookman Old Style"/>
        </w:rPr>
        <w:t>Prowadzenie – Mariusz Tchórzewsk</w:t>
      </w:r>
      <w:r>
        <w:rPr>
          <w:rFonts w:ascii="Bookman Old Style" w:hAnsi="Bookman Old Style"/>
        </w:rPr>
        <w:t>i</w:t>
      </w:r>
    </w:p>
    <w:p w:rsidR="001F7781" w:rsidRPr="001F7781" w:rsidRDefault="001F7781" w:rsidP="00F26453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135A92" w:rsidRDefault="00135A9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>Czynności sądu w postępowaniu przygotowawczym. Wybrane decyzje sądu.</w:t>
      </w:r>
    </w:p>
    <w:p w:rsidR="003A4EF2" w:rsidRPr="006009D9" w:rsidRDefault="00135A92" w:rsidP="003A4EF2">
      <w:pPr>
        <w:ind w:left="2124" w:firstLine="708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Pr="006009D9" w:rsidRDefault="003A4EF2" w:rsidP="006009D9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3A4EF2" w:rsidRDefault="003A4EF2" w:rsidP="003A4EF2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12.15 – 13.15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451C2">
        <w:rPr>
          <w:rFonts w:ascii="Bookman Old Style" w:hAnsi="Bookman Old Style"/>
          <w:szCs w:val="24"/>
        </w:rPr>
        <w:t xml:space="preserve">lunch w </w:t>
      </w:r>
      <w:proofErr w:type="spellStart"/>
      <w:r w:rsidR="002451C2">
        <w:rPr>
          <w:rFonts w:ascii="Bookman Old Style" w:hAnsi="Bookman Old Style"/>
          <w:szCs w:val="24"/>
        </w:rPr>
        <w:t>KSSiP</w:t>
      </w:r>
      <w:proofErr w:type="spellEnd"/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135A92" w:rsidRDefault="003A4EF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13.15 – 14.45</w:t>
      </w:r>
      <w:r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B94B16" w:rsidRPr="00B94B16">
        <w:rPr>
          <w:rFonts w:ascii="Bookman Old Style" w:hAnsi="Bookman Old Style"/>
          <w:b/>
          <w:color w:val="FF0000"/>
        </w:rPr>
        <w:t>GRUPA I</w:t>
      </w:r>
    </w:p>
    <w:p w:rsidR="00135A92" w:rsidRPr="00AB0195" w:rsidRDefault="00AB0195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lang w:eastAsia="en-US"/>
        </w:rPr>
        <w:t>Analiza akt, kontrola akt ( sprawy zawieszone, sprawy odroczone, sprawy oczekujące), wystąpienia do instytucji o nadesłanie informacji lub dokumentów</w:t>
      </w:r>
      <w:r>
        <w:rPr>
          <w:rFonts w:ascii="Bookman Old Style" w:eastAsia="Calibri" w:hAnsi="Bookman Old Style"/>
          <w:b/>
          <w:lang w:eastAsia="en-US"/>
        </w:rPr>
        <w:t>.</w:t>
      </w:r>
    </w:p>
    <w:p w:rsidR="00135A92" w:rsidRDefault="00AB0195" w:rsidP="00F26453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</w:rPr>
        <w:t>Prowadzenie –</w:t>
      </w:r>
      <w:r>
        <w:rPr>
          <w:rFonts w:ascii="Bookman Old Style" w:hAnsi="Bookman Old Style"/>
        </w:rPr>
        <w:t xml:space="preserve"> </w:t>
      </w:r>
      <w:r w:rsidRPr="00AB0195">
        <w:rPr>
          <w:rFonts w:ascii="Bookman Old Style" w:hAnsi="Bookman Old Style"/>
        </w:rPr>
        <w:t>Krzysztof Górski</w:t>
      </w:r>
    </w:p>
    <w:p w:rsidR="00AB0195" w:rsidRPr="00AB0195" w:rsidRDefault="00AB0195" w:rsidP="00F26453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135A92" w:rsidRDefault="00135A92" w:rsidP="00135A9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>Struktura wyroku w sprawie karnej. Reguły sporządzania projektów wyroków.</w:t>
      </w:r>
    </w:p>
    <w:p w:rsidR="003A4EF2" w:rsidRDefault="00135A92" w:rsidP="003A4EF2">
      <w:pPr>
        <w:ind w:left="2832"/>
        <w:jc w:val="both"/>
        <w:rPr>
          <w:rFonts w:ascii="Bookman Old Style" w:hAnsi="Bookman Old Style"/>
          <w:b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2451C2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ab/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14.45 – 15.00 </w:t>
      </w:r>
      <w:r>
        <w:rPr>
          <w:rFonts w:ascii="Bookman Old Style" w:hAnsi="Bookman Old Style"/>
        </w:rPr>
        <w:tab/>
        <w:t>przerwa</w:t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B0195" w:rsidRDefault="003A4EF2" w:rsidP="00AB0195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16.30 </w:t>
      </w:r>
      <w:r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 w:rsidRPr="00B94B16">
        <w:rPr>
          <w:rFonts w:ascii="Bookman Old Style" w:hAnsi="Bookman Old Style"/>
          <w:b/>
          <w:color w:val="FF0000"/>
        </w:rPr>
        <w:t>GRUPA I</w:t>
      </w:r>
    </w:p>
    <w:p w:rsidR="00135A92" w:rsidRDefault="00AB0195" w:rsidP="00AB0195">
      <w:pPr>
        <w:ind w:left="2832" w:hanging="2832"/>
        <w:jc w:val="both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lang w:eastAsia="en-US"/>
        </w:rPr>
        <w:t>Analiza akt, kontrola akt</w:t>
      </w:r>
      <w:r>
        <w:rPr>
          <w:rFonts w:ascii="Bookman Old Style" w:eastAsia="Calibri" w:hAnsi="Bookman Old Style"/>
          <w:b/>
          <w:lang w:eastAsia="en-US"/>
        </w:rPr>
        <w:t>…-ciąg dalszy</w:t>
      </w:r>
    </w:p>
    <w:p w:rsidR="00AB0195" w:rsidRDefault="00AB0195" w:rsidP="00AB0195">
      <w:pPr>
        <w:ind w:left="2832" w:hanging="2832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b/>
          <w:lang w:eastAsia="en-US"/>
        </w:rPr>
        <w:tab/>
      </w:r>
      <w:r w:rsidR="006009D9" w:rsidRPr="00135A92">
        <w:rPr>
          <w:rFonts w:ascii="Bookman Old Style" w:hAnsi="Bookman Old Style"/>
        </w:rPr>
        <w:t>Prowadzenie –</w:t>
      </w:r>
      <w:r w:rsidR="006009D9">
        <w:rPr>
          <w:rFonts w:ascii="Bookman Old Style" w:hAnsi="Bookman Old Style"/>
        </w:rPr>
        <w:t xml:space="preserve"> </w:t>
      </w:r>
      <w:r w:rsidR="006009D9" w:rsidRPr="00AB0195">
        <w:rPr>
          <w:rFonts w:ascii="Bookman Old Style" w:hAnsi="Bookman Old Style"/>
        </w:rPr>
        <w:t>Krzysztof Górski</w:t>
      </w:r>
    </w:p>
    <w:p w:rsidR="00AB0195" w:rsidRPr="006009D9" w:rsidRDefault="00AB0195" w:rsidP="00AB0195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135A92" w:rsidRDefault="00135A92" w:rsidP="002451C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2451C2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>Reguły sporządzania uzasadnień wyroków (cz. I).</w:t>
      </w:r>
    </w:p>
    <w:p w:rsidR="000841BD" w:rsidRDefault="00135A92" w:rsidP="003A4EF2">
      <w:pPr>
        <w:ind w:left="2832"/>
        <w:jc w:val="both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3A4EF2">
      <w:pPr>
        <w:jc w:val="both"/>
        <w:rPr>
          <w:rFonts w:ascii="Bookman Old Style" w:hAnsi="Bookman Old Style"/>
        </w:rPr>
      </w:pPr>
    </w:p>
    <w:p w:rsidR="003A4EF2" w:rsidRDefault="003A4EF2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2451C2">
        <w:rPr>
          <w:rFonts w:ascii="Bookman Old Style" w:hAnsi="Bookman Old Style"/>
          <w:szCs w:val="24"/>
        </w:rPr>
        <w:t>8</w:t>
      </w:r>
      <w:r>
        <w:rPr>
          <w:rFonts w:ascii="Bookman Old Style" w:hAnsi="Bookman Old Style"/>
          <w:szCs w:val="24"/>
        </w:rPr>
        <w:t xml:space="preserve">.00   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kolacja</w:t>
      </w:r>
      <w:r w:rsidR="002451C2">
        <w:rPr>
          <w:rFonts w:ascii="Bookman Old Style" w:hAnsi="Bookman Old Style"/>
          <w:szCs w:val="24"/>
        </w:rPr>
        <w:t xml:space="preserve"> w hotelu</w:t>
      </w: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3A4EF2" w:rsidRDefault="005D3217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B947C8" w:rsidP="003A4EF2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3A4EF2">
        <w:rPr>
          <w:rFonts w:ascii="Bookman Old Style" w:hAnsi="Bookman Old Style"/>
          <w:b/>
        </w:rPr>
        <w:tab/>
      </w:r>
      <w:r w:rsidR="003A4EF2">
        <w:rPr>
          <w:rFonts w:ascii="Bookman Old Style" w:hAnsi="Bookman Old Style"/>
          <w:b/>
        </w:rPr>
        <w:tab/>
      </w:r>
      <w:r w:rsidR="003A4EF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20 kwietnia </w:t>
      </w:r>
      <w:r w:rsidR="003A4EF2">
        <w:rPr>
          <w:rFonts w:ascii="Bookman Old Style" w:hAnsi="Bookman Old Style"/>
          <w:b/>
        </w:rPr>
        <w:t>2018 r.</w:t>
      </w:r>
    </w:p>
    <w:p w:rsidR="003A4EF2" w:rsidRDefault="005D3217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2451C2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3A4EF2">
        <w:rPr>
          <w:rFonts w:ascii="Bookman Old Style" w:hAnsi="Bookman Old Style"/>
          <w:szCs w:val="24"/>
        </w:rPr>
        <w:t>0 – 8.</w:t>
      </w:r>
      <w:r>
        <w:rPr>
          <w:rFonts w:ascii="Bookman Old Style" w:hAnsi="Bookman Old Style"/>
          <w:szCs w:val="24"/>
        </w:rPr>
        <w:t>0</w:t>
      </w:r>
      <w:r w:rsidR="003A4EF2">
        <w:rPr>
          <w:rFonts w:ascii="Bookman Old Style" w:hAnsi="Bookman Old Style"/>
          <w:szCs w:val="24"/>
        </w:rPr>
        <w:t xml:space="preserve">0 </w:t>
      </w:r>
      <w:r w:rsidR="003A4EF2">
        <w:rPr>
          <w:rFonts w:ascii="Bookman Old Style" w:hAnsi="Bookman Old Style"/>
          <w:szCs w:val="24"/>
        </w:rPr>
        <w:tab/>
      </w:r>
      <w:r w:rsidR="003A4EF2">
        <w:rPr>
          <w:rFonts w:ascii="Bookman Old Style" w:hAnsi="Bookman Old Style"/>
          <w:szCs w:val="24"/>
        </w:rPr>
        <w:tab/>
        <w:t>śniadanie</w:t>
      </w:r>
      <w:r>
        <w:rPr>
          <w:rFonts w:ascii="Bookman Old Style" w:hAnsi="Bookman Old Style"/>
          <w:szCs w:val="24"/>
        </w:rPr>
        <w:t xml:space="preserve"> w hotelu</w:t>
      </w:r>
    </w:p>
    <w:p w:rsidR="003A4EF2" w:rsidRDefault="003A4EF2" w:rsidP="003A4EF2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AB0195" w:rsidRDefault="003A4EF2" w:rsidP="00AB0195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8.30 – 10.00</w:t>
      </w:r>
      <w:r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 w:rsidRPr="00B94B16">
        <w:rPr>
          <w:rFonts w:ascii="Bookman Old Style" w:hAnsi="Bookman Old Style"/>
          <w:b/>
          <w:color w:val="FF0000"/>
        </w:rPr>
        <w:t>GRUPA I</w:t>
      </w:r>
    </w:p>
    <w:p w:rsidR="00AB0195" w:rsidRPr="00AB0195" w:rsidRDefault="00AB0195" w:rsidP="00AB0195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lang w:eastAsia="en-US"/>
        </w:rPr>
        <w:t>Zarządzanie sprawami</w:t>
      </w:r>
      <w:r>
        <w:rPr>
          <w:rFonts w:ascii="Bookman Old Style" w:eastAsia="Calibri" w:hAnsi="Bookman Old Style"/>
          <w:b/>
          <w:lang w:eastAsia="en-US"/>
        </w:rPr>
        <w:t>.</w:t>
      </w:r>
    </w:p>
    <w:p w:rsidR="00135A92" w:rsidRDefault="00AB0195" w:rsidP="002451C2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hAnsi="Bookman Old Style"/>
        </w:rPr>
        <w:t>Prowadzenie – Krzysztof Górski</w:t>
      </w:r>
    </w:p>
    <w:p w:rsidR="00AB0195" w:rsidRPr="006009D9" w:rsidRDefault="00AB0195" w:rsidP="002451C2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135A92" w:rsidRDefault="00135A92" w:rsidP="002451C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2451C2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 xml:space="preserve">Reguły sporządzania uzasadnień wyroków, w tym w przedmiocie wydania wyroku łącznego </w:t>
      </w:r>
      <w:r>
        <w:rPr>
          <w:rFonts w:ascii="Bookman Old Style" w:hAnsi="Bookman Old Style"/>
          <w:b/>
        </w:rPr>
        <w:br/>
      </w:r>
      <w:r w:rsidR="00950733" w:rsidRPr="00135A92">
        <w:rPr>
          <w:rFonts w:ascii="Bookman Old Style" w:hAnsi="Bookman Old Style"/>
          <w:b/>
        </w:rPr>
        <w:t>i ułaskawienie (cz. II).</w:t>
      </w:r>
    </w:p>
    <w:p w:rsidR="00135A92" w:rsidRDefault="00135A92" w:rsidP="00135A92">
      <w:pPr>
        <w:ind w:left="2832"/>
        <w:jc w:val="both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3A4EF2">
      <w:pPr>
        <w:ind w:left="2832"/>
        <w:jc w:val="both"/>
        <w:rPr>
          <w:rFonts w:ascii="Bookman Old Style" w:hAnsi="Bookman Old Style"/>
          <w:b/>
          <w:sz w:val="16"/>
          <w:szCs w:val="16"/>
        </w:rPr>
      </w:pPr>
    </w:p>
    <w:p w:rsidR="003A4EF2" w:rsidRDefault="003A4EF2" w:rsidP="003A4EF2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10.00 – 10.15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przerwa</w:t>
      </w:r>
    </w:p>
    <w:p w:rsidR="003A4EF2" w:rsidRDefault="003A4EF2" w:rsidP="003A4EF2">
      <w:pPr>
        <w:rPr>
          <w:rFonts w:ascii="Bookman Old Style" w:hAnsi="Bookman Old Style"/>
          <w:sz w:val="16"/>
          <w:szCs w:val="16"/>
        </w:rPr>
      </w:pPr>
    </w:p>
    <w:p w:rsidR="00AB0195" w:rsidRDefault="003A4EF2" w:rsidP="00AB0195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10.15 – 11.45</w:t>
      </w:r>
      <w:r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 w:rsidRPr="00AB0195">
        <w:rPr>
          <w:rFonts w:ascii="Bookman Old Style" w:hAnsi="Bookman Old Style"/>
          <w:b/>
          <w:color w:val="FF0000"/>
        </w:rPr>
        <w:t xml:space="preserve">GRUPA I 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position w:val="-14"/>
          <w:lang w:eastAsia="en-US"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 xml:space="preserve">Sposób pracy w zakresie analizy orzecznictwa </w:t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br/>
        <w:t xml:space="preserve">i judykatury (§2 ust. 2 pkt. 5 rozporządzenia </w:t>
      </w:r>
      <w:r w:rsidR="006009D9">
        <w:rPr>
          <w:rFonts w:ascii="Bookman Old Style" w:eastAsia="Calibri" w:hAnsi="Bookman Old Style"/>
          <w:b/>
          <w:position w:val="-14"/>
          <w:lang w:eastAsia="en-US"/>
        </w:rPr>
        <w:br/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>z dnia 8 listopada 2012 r.)</w:t>
      </w:r>
      <w:r w:rsidRPr="00AB0195">
        <w:rPr>
          <w:rFonts w:ascii="Bookman Old Style" w:eastAsia="Calibri" w:hAnsi="Bookman Old Style"/>
          <w:position w:val="-14"/>
          <w:lang w:eastAsia="en-US"/>
        </w:rPr>
        <w:t xml:space="preserve"> 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b/>
          <w:position w:val="-14"/>
          <w:lang w:eastAsia="en-US"/>
        </w:rPr>
      </w:pPr>
      <w:r w:rsidRPr="00AB0195">
        <w:rPr>
          <w:rFonts w:ascii="Bookman Old Style" w:eastAsia="Calibri" w:hAnsi="Bookman Old Style"/>
          <w:position w:val="-14"/>
          <w:lang w:eastAsia="en-US"/>
        </w:rPr>
        <w:tab/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 xml:space="preserve">Zlecenie asystentowi „innych czynności” - §2 ust 3 rozporządzenia z dnia 8 </w:t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ab/>
        <w:t>listopada 2012 r.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position w:val="-14"/>
          <w:lang w:eastAsia="en-US"/>
        </w:rPr>
      </w:pPr>
      <w:r w:rsidRPr="00AB0195">
        <w:rPr>
          <w:rFonts w:ascii="Bookman Old Style" w:eastAsia="Calibri" w:hAnsi="Bookman Old Style"/>
          <w:b/>
          <w:position w:val="-14"/>
          <w:lang w:eastAsia="en-US"/>
        </w:rPr>
        <w:tab/>
      </w:r>
      <w:r w:rsidRPr="00AB0195">
        <w:rPr>
          <w:rFonts w:ascii="Bookman Old Style" w:eastAsia="Calibri" w:hAnsi="Bookman Old Style"/>
          <w:position w:val="-14"/>
          <w:lang w:eastAsia="en-US"/>
        </w:rPr>
        <w:t>Prowadzenie – Krzysztof Górski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</w:p>
    <w:p w:rsidR="00135A92" w:rsidRDefault="00135A92" w:rsidP="00135A9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  <w:color w:val="FF0000"/>
        </w:rPr>
        <w:t>GRUPA II</w:t>
      </w:r>
    </w:p>
    <w:p w:rsidR="003A4EF2" w:rsidRDefault="00135A92" w:rsidP="002451C2">
      <w:pPr>
        <w:ind w:left="2832" w:hanging="2832"/>
        <w:jc w:val="both"/>
        <w:rPr>
          <w:b/>
        </w:rPr>
      </w:pPr>
      <w:r>
        <w:rPr>
          <w:rFonts w:ascii="Bookman Old Style" w:hAnsi="Bookman Old Style"/>
          <w:b/>
        </w:rPr>
        <w:tab/>
      </w:r>
      <w:r w:rsidR="000841BD" w:rsidRPr="00135A92">
        <w:rPr>
          <w:rFonts w:ascii="Bookman Old Style" w:hAnsi="Bookman Old Style"/>
          <w:b/>
        </w:rPr>
        <w:t>Odrębności w sporządzaniu orzeczeń i uzasadnień w sprawach o wykroczenia i w sprawach karnych skarbowych.</w:t>
      </w:r>
    </w:p>
    <w:p w:rsidR="00135A92" w:rsidRDefault="00135A92" w:rsidP="00135A92">
      <w:pPr>
        <w:ind w:left="2832"/>
        <w:jc w:val="both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3A4EF2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135A92" w:rsidRDefault="00135A92" w:rsidP="003A4EF2">
      <w:pPr>
        <w:ind w:left="2832"/>
        <w:jc w:val="both"/>
        <w:rPr>
          <w:rFonts w:ascii="Bookman Old Style" w:hAnsi="Bookman Old Style"/>
        </w:rPr>
      </w:pPr>
    </w:p>
    <w:p w:rsidR="003A4EF2" w:rsidRDefault="003A4EF2" w:rsidP="00E6447E">
      <w:pPr>
        <w:pStyle w:val="Tekstpodstawowy"/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 xml:space="preserve">11.45 </w:t>
      </w:r>
      <w:r w:rsidR="00E6447E">
        <w:rPr>
          <w:rFonts w:ascii="Bookman Old Style" w:hAnsi="Bookman Old Style"/>
          <w:szCs w:val="24"/>
        </w:rPr>
        <w:tab/>
      </w:r>
      <w:r w:rsidR="00E6447E">
        <w:rPr>
          <w:rFonts w:ascii="Bookman Old Style" w:hAnsi="Bookman Old Style"/>
          <w:szCs w:val="24"/>
        </w:rPr>
        <w:tab/>
      </w:r>
      <w:r w:rsidR="00E6447E">
        <w:rPr>
          <w:rFonts w:ascii="Bookman Old Style" w:hAnsi="Bookman Old Style"/>
          <w:szCs w:val="24"/>
        </w:rPr>
        <w:tab/>
        <w:t xml:space="preserve">lunch w </w:t>
      </w:r>
      <w:proofErr w:type="spellStart"/>
      <w:r w:rsidR="00E6447E">
        <w:rPr>
          <w:rFonts w:ascii="Bookman Old Style" w:hAnsi="Bookman Old Style"/>
          <w:szCs w:val="24"/>
        </w:rPr>
        <w:t>KSSiP</w:t>
      </w:r>
      <w:proofErr w:type="spellEnd"/>
    </w:p>
    <w:p w:rsidR="003A4EF2" w:rsidRDefault="003A4EF2" w:rsidP="003A4EF2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3A4EF2" w:rsidRDefault="003A4EF2" w:rsidP="003A4EF2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3A4EF2" w:rsidRDefault="003A4EF2" w:rsidP="003A4EF2">
      <w:pPr>
        <w:pStyle w:val="Tekstpodstawowy"/>
        <w:tabs>
          <w:tab w:val="left" w:pos="0"/>
        </w:tabs>
        <w:ind w:left="2127"/>
        <w:rPr>
          <w:rFonts w:ascii="Bookman Old Style" w:hAnsi="Bookman Old Style"/>
        </w:rPr>
      </w:pPr>
    </w:p>
    <w:p w:rsidR="003A4EF2" w:rsidRDefault="003A4EF2" w:rsidP="003A4EF2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3A4EF2" w:rsidRDefault="005D3217" w:rsidP="003A4EF2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3A4EF2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A4EF2">
        <w:rPr>
          <w:rFonts w:ascii="Bookman Old Style" w:hAnsi="Bookman Old Style"/>
          <w:sz w:val="20"/>
          <w:szCs w:val="20"/>
        </w:rPr>
        <w:t xml:space="preserve"> </w: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A4EF2" w:rsidRDefault="003A4EF2" w:rsidP="003A4EF2">
      <w:pPr>
        <w:spacing w:line="360" w:lineRule="auto"/>
        <w:rPr>
          <w:rFonts w:ascii="Bookman Old Style" w:hAnsi="Bookman Old Style"/>
          <w:b/>
        </w:rPr>
      </w:pPr>
    </w:p>
    <w:sectPr w:rsidR="003A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A33"/>
    <w:multiLevelType w:val="hybridMultilevel"/>
    <w:tmpl w:val="1D245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6418"/>
    <w:multiLevelType w:val="hybridMultilevel"/>
    <w:tmpl w:val="5B6CACE2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4C842C87"/>
    <w:multiLevelType w:val="hybridMultilevel"/>
    <w:tmpl w:val="511E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A5AE1"/>
    <w:multiLevelType w:val="hybridMultilevel"/>
    <w:tmpl w:val="9CB8DF3E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3"/>
    <w:rsid w:val="000206D1"/>
    <w:rsid w:val="000841BD"/>
    <w:rsid w:val="00135A92"/>
    <w:rsid w:val="001F7781"/>
    <w:rsid w:val="0023357F"/>
    <w:rsid w:val="002451C2"/>
    <w:rsid w:val="002D7FFD"/>
    <w:rsid w:val="002E39F3"/>
    <w:rsid w:val="00316837"/>
    <w:rsid w:val="00331A99"/>
    <w:rsid w:val="003A4EF2"/>
    <w:rsid w:val="0046503E"/>
    <w:rsid w:val="00543768"/>
    <w:rsid w:val="005D3217"/>
    <w:rsid w:val="006009D9"/>
    <w:rsid w:val="00684404"/>
    <w:rsid w:val="006B2FD3"/>
    <w:rsid w:val="0076316F"/>
    <w:rsid w:val="00767C08"/>
    <w:rsid w:val="00950733"/>
    <w:rsid w:val="009F1282"/>
    <w:rsid w:val="00A93431"/>
    <w:rsid w:val="00AB0195"/>
    <w:rsid w:val="00B429F2"/>
    <w:rsid w:val="00B947C8"/>
    <w:rsid w:val="00B94B16"/>
    <w:rsid w:val="00CD1658"/>
    <w:rsid w:val="00DF5613"/>
    <w:rsid w:val="00E6447E"/>
    <w:rsid w:val="00EC6823"/>
    <w:rsid w:val="00F26453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2648-E148-45E0-9910-2653D219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EF2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A4EF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4EF2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A4EF2"/>
    <w:rPr>
      <w:b/>
      <w:bCs/>
    </w:rPr>
  </w:style>
  <w:style w:type="paragraph" w:styleId="Akapitzlist">
    <w:name w:val="List Paragraph"/>
    <w:basedOn w:val="Normalny"/>
    <w:uiPriority w:val="34"/>
    <w:qFormat/>
    <w:rsid w:val="00135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37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ister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9355-2554-447B-A185-DC2D5624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Blonski</dc:creator>
  <cp:keywords/>
  <dc:description/>
  <cp:lastModifiedBy>Anna Szpakowska</cp:lastModifiedBy>
  <cp:revision>4</cp:revision>
  <cp:lastPrinted>2017-12-21T09:59:00Z</cp:lastPrinted>
  <dcterms:created xsi:type="dcterms:W3CDTF">2018-01-09T07:46:00Z</dcterms:created>
  <dcterms:modified xsi:type="dcterms:W3CDTF">2018-01-16T08:38:00Z</dcterms:modified>
</cp:coreProperties>
</file>