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A3" w:rsidRDefault="00AD68A3" w:rsidP="00AD68A3">
      <w:pPr>
        <w:spacing w:after="120"/>
      </w:pPr>
      <w:bookmarkStart w:id="0" w:name="_GoBack"/>
      <w:bookmarkEnd w:id="0"/>
      <w:r>
        <w:t xml:space="preserve">OAP-II.420.12.11.2022 </w:t>
      </w:r>
      <w:r>
        <w:tab/>
      </w:r>
      <w:r>
        <w:tab/>
      </w:r>
      <w:r>
        <w:tab/>
      </w:r>
      <w:r>
        <w:tab/>
      </w:r>
      <w:r>
        <w:tab/>
        <w:t xml:space="preserve">                     Kraków, dnia 26 lipca 2023 r.</w:t>
      </w:r>
    </w:p>
    <w:p w:rsidR="00AD68A3" w:rsidRDefault="00AD68A3" w:rsidP="00AD68A3">
      <w:pPr>
        <w:tabs>
          <w:tab w:val="left" w:pos="4820"/>
        </w:tabs>
        <w:spacing w:after="120"/>
        <w:rPr>
          <w:b/>
        </w:rPr>
      </w:pPr>
    </w:p>
    <w:p w:rsidR="00AD68A3" w:rsidRDefault="00AD68A3" w:rsidP="00AD68A3">
      <w:pPr>
        <w:tabs>
          <w:tab w:val="left" w:pos="4820"/>
        </w:tabs>
        <w:spacing w:after="120"/>
        <w:rPr>
          <w:b/>
        </w:rPr>
      </w:pPr>
    </w:p>
    <w:p w:rsidR="00AD68A3" w:rsidRDefault="00AD68A3" w:rsidP="00AD68A3">
      <w:pPr>
        <w:tabs>
          <w:tab w:val="left" w:pos="4820"/>
        </w:tabs>
        <w:spacing w:after="120"/>
        <w:jc w:val="center"/>
        <w:rPr>
          <w:b/>
        </w:rPr>
      </w:pPr>
    </w:p>
    <w:p w:rsidR="007643C3" w:rsidRDefault="007643C3" w:rsidP="007643C3">
      <w:pPr>
        <w:tabs>
          <w:tab w:val="left" w:pos="4820"/>
        </w:tabs>
        <w:spacing w:after="0" w:line="360" w:lineRule="auto"/>
        <w:jc w:val="right"/>
        <w:rPr>
          <w:b/>
        </w:rPr>
      </w:pPr>
      <w:r>
        <w:rPr>
          <w:b/>
        </w:rPr>
        <w:t xml:space="preserve">Szanowni </w:t>
      </w:r>
      <w:r w:rsidR="00AD68A3">
        <w:rPr>
          <w:b/>
        </w:rPr>
        <w:t>Państwo</w:t>
      </w:r>
    </w:p>
    <w:p w:rsidR="007643C3" w:rsidRDefault="00AD68A3" w:rsidP="007643C3">
      <w:pPr>
        <w:tabs>
          <w:tab w:val="left" w:pos="4820"/>
        </w:tabs>
        <w:spacing w:after="0" w:line="360" w:lineRule="auto"/>
        <w:jc w:val="right"/>
        <w:rPr>
          <w:b/>
        </w:rPr>
      </w:pPr>
      <w:r>
        <w:rPr>
          <w:b/>
        </w:rPr>
        <w:t>Patroni koordynatorzy</w:t>
      </w:r>
    </w:p>
    <w:p w:rsidR="007643C3" w:rsidRDefault="00AD68A3" w:rsidP="007643C3">
      <w:pPr>
        <w:tabs>
          <w:tab w:val="left" w:pos="4820"/>
        </w:tabs>
        <w:spacing w:after="0" w:line="360" w:lineRule="auto"/>
        <w:jc w:val="right"/>
        <w:rPr>
          <w:b/>
        </w:rPr>
      </w:pPr>
      <w:r>
        <w:rPr>
          <w:b/>
        </w:rPr>
        <w:t xml:space="preserve">oraz </w:t>
      </w:r>
    </w:p>
    <w:p w:rsidR="007643C3" w:rsidRDefault="007643C3" w:rsidP="007643C3">
      <w:pPr>
        <w:tabs>
          <w:tab w:val="left" w:pos="4820"/>
        </w:tabs>
        <w:spacing w:after="0" w:line="360" w:lineRule="auto"/>
        <w:jc w:val="right"/>
        <w:rPr>
          <w:b/>
        </w:rPr>
      </w:pPr>
      <w:r>
        <w:rPr>
          <w:b/>
        </w:rPr>
        <w:t>Patroni</w:t>
      </w:r>
    </w:p>
    <w:p w:rsidR="007643C3" w:rsidRDefault="007643C3" w:rsidP="007643C3">
      <w:pPr>
        <w:tabs>
          <w:tab w:val="left" w:pos="4820"/>
        </w:tabs>
        <w:spacing w:after="0" w:line="360" w:lineRule="auto"/>
        <w:jc w:val="right"/>
        <w:rPr>
          <w:b/>
        </w:rPr>
      </w:pPr>
      <w:r>
        <w:rPr>
          <w:b/>
        </w:rPr>
        <w:t>i Opiekunowie</w:t>
      </w:r>
      <w:r w:rsidR="00AD68A3">
        <w:rPr>
          <w:b/>
        </w:rPr>
        <w:t xml:space="preserve"> praktyk aplikantów</w:t>
      </w:r>
    </w:p>
    <w:p w:rsidR="00AD68A3" w:rsidRDefault="007643C3" w:rsidP="007643C3">
      <w:pPr>
        <w:tabs>
          <w:tab w:val="left" w:pos="4820"/>
        </w:tabs>
        <w:spacing w:after="0" w:line="360" w:lineRule="auto"/>
        <w:jc w:val="right"/>
        <w:rPr>
          <w:b/>
        </w:rPr>
      </w:pPr>
      <w:r>
        <w:rPr>
          <w:b/>
        </w:rPr>
        <w:t>a</w:t>
      </w:r>
      <w:r w:rsidR="00AD68A3">
        <w:rPr>
          <w:b/>
        </w:rPr>
        <w:t>plikacji prokuratorskiej</w:t>
      </w:r>
    </w:p>
    <w:p w:rsidR="00AD68A3" w:rsidRDefault="00AD68A3" w:rsidP="00AD68A3">
      <w:pPr>
        <w:tabs>
          <w:tab w:val="left" w:pos="4820"/>
        </w:tabs>
        <w:spacing w:after="0" w:line="360" w:lineRule="auto"/>
        <w:jc w:val="center"/>
        <w:rPr>
          <w:b/>
        </w:rPr>
      </w:pPr>
    </w:p>
    <w:p w:rsidR="00AD68A3" w:rsidRDefault="00AD68A3" w:rsidP="00AD68A3">
      <w:pPr>
        <w:spacing w:after="120"/>
        <w:ind w:left="4248"/>
        <w:rPr>
          <w:b/>
        </w:rPr>
      </w:pPr>
    </w:p>
    <w:p w:rsidR="00AD68A3" w:rsidRDefault="00AD68A3" w:rsidP="00AD68A3">
      <w:pPr>
        <w:spacing w:after="120"/>
        <w:jc w:val="both"/>
        <w:rPr>
          <w:b/>
          <w:i/>
        </w:rPr>
      </w:pPr>
      <w:r>
        <w:rPr>
          <w:b/>
          <w:i/>
        </w:rPr>
        <w:t>Dotyczy: praktyki XIV rocznika aplikacji prokuratorskiej po 11. zjeździe</w:t>
      </w:r>
    </w:p>
    <w:p w:rsidR="00AD68A3" w:rsidRDefault="00AD68A3" w:rsidP="00AD68A3">
      <w:pPr>
        <w:spacing w:after="120"/>
        <w:jc w:val="both"/>
        <w:rPr>
          <w:b/>
          <w:i/>
        </w:rPr>
      </w:pPr>
    </w:p>
    <w:p w:rsidR="00AD68A3" w:rsidRDefault="00AD68A3" w:rsidP="00AD68A3">
      <w:pPr>
        <w:spacing w:after="120"/>
        <w:ind w:firstLine="708"/>
        <w:jc w:val="both"/>
        <w:rPr>
          <w:b/>
        </w:rPr>
      </w:pPr>
      <w:r>
        <w:t>Na podstawie § 1</w:t>
      </w:r>
      <w:r w:rsidR="007643C3">
        <w:t xml:space="preserve"> ust. 2 </w:t>
      </w:r>
      <w:r>
        <w:t xml:space="preserve">zarządzenia Dyrektora Krajowej Szkoły Sądownictwa i Prokuratury w Krakowie Nr 539/2021 z dnia 27 października 2021 roku w sprawie szczegółowych zasad odbywania praktyki przez aplikantów aplikacji sędziowskiej i prokuratorskiej, uprzejmie przedstawiam </w:t>
      </w:r>
      <w:r w:rsidR="007643C3">
        <w:t xml:space="preserve">cel oraz </w:t>
      </w:r>
      <w:r>
        <w:t xml:space="preserve">szczegółowy zakres tematyczny, który winien być przedmiotem praktyk aplikantów aplikacji prokuratorskiej odbywanych </w:t>
      </w:r>
      <w:r w:rsidRPr="00B77E0A">
        <w:rPr>
          <w:b/>
        </w:rPr>
        <w:t xml:space="preserve">w dniach od </w:t>
      </w:r>
      <w:r>
        <w:rPr>
          <w:b/>
        </w:rPr>
        <w:t>11 do 15 grudnia 2023 roku w laboratoriach kryminalistycznych (1 tydzień) oraz do 18</w:t>
      </w:r>
      <w:r w:rsidRPr="00B77E0A">
        <w:rPr>
          <w:b/>
        </w:rPr>
        <w:t xml:space="preserve"> grudnia 202</w:t>
      </w:r>
      <w:r>
        <w:rPr>
          <w:b/>
        </w:rPr>
        <w:t>3</w:t>
      </w:r>
      <w:r w:rsidRPr="00B77E0A">
        <w:rPr>
          <w:b/>
        </w:rPr>
        <w:t xml:space="preserve"> roku</w:t>
      </w:r>
      <w:r>
        <w:rPr>
          <w:b/>
        </w:rPr>
        <w:t xml:space="preserve"> do 12 stycznia 2024 roku</w:t>
      </w:r>
      <w:r w:rsidRPr="00B77E0A">
        <w:rPr>
          <w:b/>
        </w:rPr>
        <w:t xml:space="preserve"> w prokuraturach rejonowych</w:t>
      </w:r>
      <w:r>
        <w:rPr>
          <w:b/>
        </w:rPr>
        <w:t xml:space="preserve"> (4 tygodnie)</w:t>
      </w:r>
      <w:r w:rsidRPr="00B77E0A">
        <w:rPr>
          <w:b/>
        </w:rPr>
        <w:t>.</w:t>
      </w:r>
    </w:p>
    <w:p w:rsidR="00AD68A3" w:rsidRDefault="00AD68A3" w:rsidP="00AD68A3">
      <w:pPr>
        <w:spacing w:after="120"/>
        <w:ind w:firstLine="360"/>
        <w:jc w:val="both"/>
      </w:pPr>
      <w:r w:rsidRPr="00AD68A3">
        <w:t>Celem praktyki jest zapoznanie aplikantów z przeprowadzaniem czynności oględzin na miejscu zdarzenia, z oględzinami rzeczy i z dokumentowaniem tych czynności, utrwalanie umiejętności formułowania pytań do biegłych z wybranej dziedziny kryminalistyki, a także poznanie metod i możliwości badawczych poszczególnych pracowni laboratorium kryminalistycznego</w:t>
      </w:r>
      <w:r w:rsidRPr="004F618C">
        <w:t>.</w:t>
      </w:r>
    </w:p>
    <w:p w:rsidR="00AD68A3" w:rsidRDefault="000C39FB" w:rsidP="00AD68A3">
      <w:pPr>
        <w:spacing w:after="120"/>
        <w:ind w:firstLine="360"/>
        <w:jc w:val="both"/>
      </w:pPr>
      <w:r>
        <w:rPr>
          <w:b/>
        </w:rPr>
        <w:t xml:space="preserve">Opiekunowie </w:t>
      </w:r>
      <w:r w:rsidR="00AD68A3" w:rsidRPr="00AD68A3">
        <w:rPr>
          <w:b/>
        </w:rPr>
        <w:t>praktyk w laboratoriach kryminalistycznych</w:t>
      </w:r>
      <w:r w:rsidR="00AD68A3">
        <w:t xml:space="preserve"> powinni zadbać, aby aplikanci mieli możliwość zapoznania się  z praktyczną stroną pracy laboratorium kryminalistycznego Policji w zakresie objętym tematyką zjazdu, a w szczególności:</w:t>
      </w:r>
    </w:p>
    <w:p w:rsidR="00AD68A3" w:rsidRDefault="00AD68A3" w:rsidP="00AD68A3">
      <w:pPr>
        <w:spacing w:after="120"/>
        <w:ind w:firstLine="360"/>
        <w:jc w:val="both"/>
      </w:pPr>
      <w:r>
        <w:t>1.</w:t>
      </w:r>
      <w:r>
        <w:tab/>
        <w:t>ze strukturą organizacyjną i podziałem zadań laboratorium;</w:t>
      </w:r>
    </w:p>
    <w:p w:rsidR="005F440F" w:rsidRDefault="00AD68A3" w:rsidP="005F440F">
      <w:pPr>
        <w:spacing w:after="120"/>
        <w:ind w:firstLine="360"/>
        <w:jc w:val="both"/>
      </w:pPr>
      <w:r>
        <w:t>2.</w:t>
      </w:r>
      <w:r>
        <w:tab/>
        <w:t xml:space="preserve">z metodyką pracy i możliwościami badawczymi poszczególnych pracowni laboratorium kryminalistycznego, w tym z pracą analityka kryminalnego oraz warunkami, jakie musi spełniać zlecenie analizy, z programami wykorzystywanymi przez analityków, jak również z wynikami ich pracy w postaci wniosków i wykresów graficznych; </w:t>
      </w:r>
    </w:p>
    <w:p w:rsidR="00AD68A3" w:rsidRDefault="00AD68A3" w:rsidP="00AD68A3">
      <w:pPr>
        <w:spacing w:after="120"/>
        <w:ind w:firstLine="360"/>
        <w:jc w:val="both"/>
      </w:pPr>
      <w:r>
        <w:t>3.</w:t>
      </w:r>
      <w:r>
        <w:tab/>
        <w:t>z zasadami prawidłowego formułowania pytań do biegłych</w:t>
      </w:r>
      <w:r w:rsidR="005F440F">
        <w:t xml:space="preserve"> – aplikanci powinni wraz z biegłym przeanalizować co najmniej 5 postanowień o powołaniu biegłych (różnych specjalności) pod kątem prawidłowości formułowania pytań</w:t>
      </w:r>
      <w:r>
        <w:t>;</w:t>
      </w:r>
    </w:p>
    <w:p w:rsidR="00AD68A3" w:rsidRDefault="00AD68A3" w:rsidP="00AD68A3">
      <w:pPr>
        <w:spacing w:after="120"/>
        <w:ind w:firstLine="360"/>
        <w:jc w:val="both"/>
      </w:pPr>
      <w:r>
        <w:lastRenderedPageBreak/>
        <w:t>4.</w:t>
      </w:r>
      <w:r>
        <w:tab/>
        <w:t>z zasadami konstruowania opinii</w:t>
      </w:r>
      <w:r w:rsidR="005F440F">
        <w:t xml:space="preserve"> – aplikanci powinni przeanalizować wraz z biegłymi co najmniej </w:t>
      </w:r>
      <w:r w:rsidR="007643C3">
        <w:t xml:space="preserve">10 różnych </w:t>
      </w:r>
      <w:r w:rsidR="005F440F">
        <w:t>opini</w:t>
      </w:r>
      <w:r w:rsidR="007643C3">
        <w:t>i</w:t>
      </w:r>
      <w:r w:rsidR="005F440F">
        <w:t xml:space="preserve"> pod względem zarówno merytorycznym jak i formalny</w:t>
      </w:r>
      <w:r w:rsidR="007C57E9">
        <w:t>m</w:t>
      </w:r>
      <w:r w:rsidR="005F440F">
        <w:t xml:space="preserve"> (konstrukcji opinii)</w:t>
      </w:r>
      <w:r>
        <w:t>;</w:t>
      </w:r>
    </w:p>
    <w:p w:rsidR="00AD68A3" w:rsidRDefault="00AD68A3" w:rsidP="00AD68A3">
      <w:pPr>
        <w:spacing w:after="120"/>
        <w:ind w:firstLine="360"/>
        <w:jc w:val="both"/>
      </w:pPr>
      <w:r>
        <w:t>5.</w:t>
      </w:r>
      <w:r>
        <w:tab/>
        <w:t>z techniką zabezpieczania przez specjalistę na miejscu zdarzenia śladów kryminalistycznych, ich nośników oraz rzeczy mogących mieć związek z przestępstwem</w:t>
      </w:r>
      <w:r w:rsidR="005F440F">
        <w:t xml:space="preserve"> – aplikanci, w miarę możliwości</w:t>
      </w:r>
      <w:r w:rsidR="00A147A6">
        <w:t>,</w:t>
      </w:r>
      <w:r w:rsidR="005F440F">
        <w:t xml:space="preserve"> powinni wziąć udział w oględzinach miejsca zdarzenia i w oględzinach rzeczy</w:t>
      </w:r>
      <w:r w:rsidR="007360F2">
        <w:t>, w tym</w:t>
      </w:r>
      <w:r w:rsidR="000C39FB">
        <w:t>:</w:t>
      </w:r>
    </w:p>
    <w:p w:rsidR="00031F71" w:rsidRDefault="00AD68A3" w:rsidP="00AD68A3">
      <w:pPr>
        <w:spacing w:after="120"/>
        <w:ind w:firstLine="360"/>
        <w:jc w:val="both"/>
      </w:pPr>
      <w:r>
        <w:t>Aplikanci powinni także mieć możliwość wzięcia udziału</w:t>
      </w:r>
      <w:r w:rsidR="007360F2">
        <w:t xml:space="preserve"> w:</w:t>
      </w:r>
      <w:r>
        <w:t xml:space="preserve"> </w:t>
      </w:r>
    </w:p>
    <w:p w:rsidR="00031F71" w:rsidRDefault="00031F71" w:rsidP="00AD68A3">
      <w:pPr>
        <w:spacing w:after="120"/>
        <w:ind w:firstLine="360"/>
        <w:jc w:val="both"/>
      </w:pPr>
      <w:r>
        <w:t xml:space="preserve">- zabezpieczaniu poszczególnych śladów kryminalistycznych na miejscu zdarzenia (w tym mechanoskopijnych, </w:t>
      </w:r>
      <w:proofErr w:type="spellStart"/>
      <w:r>
        <w:t>traseologicznych</w:t>
      </w:r>
      <w:proofErr w:type="spellEnd"/>
      <w:r>
        <w:t>, osmologicznych, daktyloskopijnych)</w:t>
      </w:r>
      <w:r w:rsidR="007643C3">
        <w:t>;</w:t>
      </w:r>
    </w:p>
    <w:p w:rsidR="00AD68A3" w:rsidRPr="00B375CA" w:rsidRDefault="00031F71" w:rsidP="00AD68A3">
      <w:pPr>
        <w:spacing w:after="120"/>
        <w:ind w:firstLine="360"/>
        <w:jc w:val="both"/>
      </w:pPr>
      <w:r>
        <w:t xml:space="preserve">- </w:t>
      </w:r>
      <w:r w:rsidR="00AD68A3">
        <w:t>przeprowadzaniu eksperymentu procesowego</w:t>
      </w:r>
      <w:r w:rsidR="005F440F">
        <w:t>.</w:t>
      </w:r>
    </w:p>
    <w:p w:rsidR="009B39A1" w:rsidRDefault="00AD68A3" w:rsidP="009B39A1">
      <w:pPr>
        <w:spacing w:before="120" w:after="120"/>
        <w:jc w:val="both"/>
        <w:rPr>
          <w:rFonts w:eastAsia="Times New Roman" w:cstheme="minorHAnsi"/>
          <w:b/>
          <w:lang w:eastAsia="pl-PL"/>
        </w:rPr>
      </w:pPr>
      <w:r w:rsidRPr="007D3B0D">
        <w:rPr>
          <w:rFonts w:eastAsia="Times New Roman" w:cstheme="minorHAnsi"/>
          <w:b/>
          <w:lang w:eastAsia="pl-PL"/>
        </w:rPr>
        <w:t xml:space="preserve">Patroni praktyk </w:t>
      </w:r>
      <w:r>
        <w:rPr>
          <w:rFonts w:eastAsia="Times New Roman" w:cstheme="minorHAnsi"/>
          <w:b/>
          <w:lang w:eastAsia="pl-PL"/>
        </w:rPr>
        <w:t xml:space="preserve">w prokuraturach rejonowych </w:t>
      </w:r>
      <w:r w:rsidRPr="00455916">
        <w:rPr>
          <w:rFonts w:eastAsia="Times New Roman" w:cstheme="minorHAnsi"/>
          <w:lang w:eastAsia="pl-PL"/>
        </w:rPr>
        <w:t>winni zadbać, aby aplikanci</w:t>
      </w:r>
      <w:r w:rsidR="009B39A1" w:rsidRPr="00455916">
        <w:rPr>
          <w:rFonts w:eastAsia="Times New Roman" w:cstheme="minorHAnsi"/>
          <w:lang w:eastAsia="pl-PL"/>
        </w:rPr>
        <w:t>:</w:t>
      </w:r>
      <w:r w:rsidR="009B39A1">
        <w:rPr>
          <w:rFonts w:eastAsia="Times New Roman" w:cstheme="minorHAnsi"/>
          <w:b/>
          <w:lang w:eastAsia="pl-PL"/>
        </w:rPr>
        <w:t xml:space="preserve"> </w:t>
      </w:r>
      <w:r w:rsidRPr="007D3B0D">
        <w:rPr>
          <w:rFonts w:eastAsia="Times New Roman" w:cstheme="minorHAnsi"/>
          <w:b/>
          <w:lang w:eastAsia="pl-PL"/>
        </w:rPr>
        <w:t xml:space="preserve"> </w:t>
      </w:r>
    </w:p>
    <w:p w:rsidR="009B39A1" w:rsidRDefault="009B39A1" w:rsidP="009B39A1">
      <w:pPr>
        <w:pStyle w:val="Akapitzlist"/>
        <w:numPr>
          <w:ilvl w:val="0"/>
          <w:numId w:val="2"/>
        </w:numPr>
        <w:spacing w:before="120" w:after="120"/>
        <w:jc w:val="both"/>
      </w:pPr>
      <w:r>
        <w:t>wzięli udział w co najmniej 3 czynnościach oględzin miejsca zdarzenia, oględzin miejsca ujawnienia zwłok i oględzin zwłok</w:t>
      </w:r>
      <w:r w:rsidR="005F440F">
        <w:t xml:space="preserve"> (wraz z patronem</w:t>
      </w:r>
      <w:r w:rsidR="007643C3">
        <w:t xml:space="preserve"> lub z innym prokuratorem</w:t>
      </w:r>
      <w:r w:rsidR="005F440F">
        <w:t>)</w:t>
      </w:r>
      <w:r>
        <w:t>;</w:t>
      </w:r>
    </w:p>
    <w:p w:rsidR="00AD68A3" w:rsidRDefault="009B39A1" w:rsidP="009B39A1">
      <w:pPr>
        <w:pStyle w:val="Akapitzlist"/>
        <w:numPr>
          <w:ilvl w:val="0"/>
          <w:numId w:val="2"/>
        </w:numPr>
        <w:spacing w:before="120" w:after="120"/>
        <w:jc w:val="both"/>
      </w:pPr>
      <w:r>
        <w:t xml:space="preserve">sporządzili co najmniej </w:t>
      </w:r>
      <w:r w:rsidR="00AD68A3">
        <w:t xml:space="preserve">5 protokołów oględzin </w:t>
      </w:r>
      <w:r>
        <w:t>rzeczy lub oględzin miejsca zdarzenia</w:t>
      </w:r>
      <w:r w:rsidR="00AD68A3">
        <w:t>;</w:t>
      </w:r>
    </w:p>
    <w:p w:rsidR="00AD68A3" w:rsidRDefault="009B39A1" w:rsidP="00AD68A3">
      <w:pPr>
        <w:numPr>
          <w:ilvl w:val="0"/>
          <w:numId w:val="2"/>
        </w:numPr>
        <w:spacing w:after="120"/>
        <w:jc w:val="both"/>
      </w:pPr>
      <w:r>
        <w:t xml:space="preserve">sporządzili co najmniej </w:t>
      </w:r>
      <w:r w:rsidR="007643C3">
        <w:t>10</w:t>
      </w:r>
      <w:r w:rsidR="00AD68A3">
        <w:t xml:space="preserve"> </w:t>
      </w:r>
      <w:r>
        <w:t>postanowień o powołaniu biegłych (różnych specjalności)</w:t>
      </w:r>
      <w:r w:rsidR="00A147A6">
        <w:t>.</w:t>
      </w:r>
    </w:p>
    <w:p w:rsidR="009B39A1" w:rsidRDefault="009B39A1" w:rsidP="00AD68A3">
      <w:pPr>
        <w:spacing w:after="0"/>
        <w:jc w:val="center"/>
      </w:pPr>
    </w:p>
    <w:p w:rsidR="00AD68A3" w:rsidRDefault="00AD68A3" w:rsidP="00AD68A3">
      <w:pPr>
        <w:spacing w:after="0"/>
        <w:jc w:val="center"/>
        <w:rPr>
          <w:b/>
        </w:rPr>
      </w:pPr>
      <w:r>
        <w:rPr>
          <w:b/>
        </w:rPr>
        <w:t xml:space="preserve">Kierownik </w:t>
      </w:r>
    </w:p>
    <w:p w:rsidR="00AD68A3" w:rsidRDefault="00AD68A3" w:rsidP="00AD68A3">
      <w:pPr>
        <w:spacing w:after="0"/>
        <w:jc w:val="center"/>
        <w:rPr>
          <w:b/>
        </w:rPr>
      </w:pPr>
      <w:r>
        <w:rPr>
          <w:b/>
        </w:rPr>
        <w:t>Działu Dydaktycznego OAP</w:t>
      </w:r>
    </w:p>
    <w:p w:rsidR="00AD68A3" w:rsidRDefault="00AD68A3" w:rsidP="00AD68A3">
      <w:pPr>
        <w:spacing w:after="120"/>
        <w:jc w:val="center"/>
        <w:rPr>
          <w:b/>
        </w:rPr>
      </w:pPr>
      <w:r>
        <w:rPr>
          <w:b/>
        </w:rPr>
        <w:t>Krajowej Szkoły Sądownictwa i Prokuratury</w:t>
      </w:r>
    </w:p>
    <w:p w:rsidR="00AD68A3" w:rsidRDefault="009B39A1" w:rsidP="00AD68A3">
      <w:pPr>
        <w:spacing w:after="0"/>
        <w:jc w:val="center"/>
        <w:rPr>
          <w:b/>
        </w:rPr>
      </w:pPr>
      <w:r>
        <w:rPr>
          <w:b/>
        </w:rPr>
        <w:t>dr Rafał Łyżwa</w:t>
      </w:r>
    </w:p>
    <w:p w:rsidR="00AD68A3" w:rsidRPr="004F618C" w:rsidRDefault="00AD68A3" w:rsidP="00AD68A3">
      <w:pPr>
        <w:spacing w:after="120"/>
        <w:jc w:val="center"/>
        <w:rPr>
          <w:b/>
        </w:rPr>
      </w:pPr>
      <w:r>
        <w:rPr>
          <w:b/>
        </w:rPr>
        <w:t>Prokurator</w:t>
      </w:r>
    </w:p>
    <w:p w:rsidR="009B39A1" w:rsidRDefault="009B39A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D68A3" w:rsidRPr="004C5C30" w:rsidRDefault="00AD68A3" w:rsidP="00AD68A3">
      <w:pPr>
        <w:jc w:val="center"/>
        <w:rPr>
          <w:b/>
        </w:rPr>
      </w:pPr>
      <w:r w:rsidRPr="004C5C30">
        <w:rPr>
          <w:b/>
        </w:rPr>
        <w:lastRenderedPageBreak/>
        <w:t>Załącznik do zalecenia do praktyk po 1</w:t>
      </w:r>
      <w:r w:rsidR="009B39A1">
        <w:rPr>
          <w:b/>
        </w:rPr>
        <w:t>1</w:t>
      </w:r>
      <w:r w:rsidRPr="004C5C30">
        <w:rPr>
          <w:b/>
        </w:rPr>
        <w:t>. zjeździe XIV rocznika aplikacji prokuratorskiej</w:t>
      </w:r>
    </w:p>
    <w:p w:rsidR="00AD68A3" w:rsidRDefault="00AD68A3" w:rsidP="00AD68A3">
      <w:pPr>
        <w:spacing w:after="120"/>
        <w:ind w:firstLine="360"/>
        <w:jc w:val="both"/>
      </w:pPr>
      <w:r>
        <w:t>Przedmiotem 1</w:t>
      </w:r>
      <w:r w:rsidR="009B39A1">
        <w:t>1</w:t>
      </w:r>
      <w:r>
        <w:t xml:space="preserve">. zjazdu aplikacji prokuratorskiej, który odbędzie się w dniach od </w:t>
      </w:r>
      <w:r w:rsidR="00857D14">
        <w:t>4 do 8 grudnia</w:t>
      </w:r>
      <w:r>
        <w:t xml:space="preserve"> 2023 r. będzie:</w:t>
      </w:r>
    </w:p>
    <w:p w:rsidR="009B39A1" w:rsidRDefault="009B39A1" w:rsidP="009B39A1">
      <w:pPr>
        <w:pStyle w:val="Akapitzlist"/>
        <w:numPr>
          <w:ilvl w:val="0"/>
          <w:numId w:val="4"/>
        </w:numPr>
        <w:spacing w:after="120"/>
        <w:jc w:val="both"/>
      </w:pPr>
      <w:r>
        <w:t>Prawo karne materialne - przestępstwa przeciwko prawom osób wykonujących pracę zarobkową, przestępstwa przeciwko porządkowi publicznemu, przestępstwa przeciwko rodzinie i opiece, wybrane zagadnienia ustawy z dnia 29 lipca 2005 r. o przeciwdziałaniu przemocy w rodzinie.</w:t>
      </w:r>
    </w:p>
    <w:p w:rsidR="009B39A1" w:rsidRDefault="009B39A1" w:rsidP="009B39A1">
      <w:pPr>
        <w:pStyle w:val="Akapitzlist"/>
        <w:numPr>
          <w:ilvl w:val="0"/>
          <w:numId w:val="4"/>
        </w:numPr>
        <w:spacing w:after="120"/>
        <w:jc w:val="both"/>
      </w:pPr>
      <w:r>
        <w:t>Medycyna sądowa – aspekt medyczny</w:t>
      </w:r>
    </w:p>
    <w:p w:rsidR="009B39A1" w:rsidRDefault="009B39A1" w:rsidP="009B39A1">
      <w:pPr>
        <w:spacing w:after="120"/>
        <w:ind w:firstLine="360"/>
        <w:jc w:val="both"/>
      </w:pPr>
      <w:r>
        <w:t>Traumatologia sądowo-lekarska. Rodzaje urazów mechanicznych (w szczególności: otarcia naskórka i podbiegnięcia krwawe, rany i ich klasyfikacja) oraz ich następstwa. Krwotoki, wstrząsy i zatory. Różnicowanie skutków wynikających z działania innej osoby, nieszczęśliwego wypadku oraz samouszkodzeń.</w:t>
      </w:r>
    </w:p>
    <w:p w:rsidR="009B39A1" w:rsidRDefault="009B39A1" w:rsidP="009B39A1">
      <w:pPr>
        <w:spacing w:after="120"/>
        <w:ind w:firstLine="360"/>
        <w:jc w:val="both"/>
      </w:pPr>
      <w:r>
        <w:t xml:space="preserve">Działanie wysokiej i niskiej temperatury (miejscowe i ogólne). Udar cieplny i słoneczny. Klasyfikacja oparzeń i </w:t>
      </w:r>
      <w:proofErr w:type="spellStart"/>
      <w:r>
        <w:t>odmrożeń</w:t>
      </w:r>
      <w:proofErr w:type="spellEnd"/>
      <w:r>
        <w:t>. Różnicowanie oparzeń oraz skutków działania energii elektrycznej (miejscowego i ogólnego) i wyładowań atmosferycznych. Zgony w pożarach.</w:t>
      </w:r>
    </w:p>
    <w:p w:rsidR="009B39A1" w:rsidRDefault="009B39A1" w:rsidP="009B39A1">
      <w:pPr>
        <w:spacing w:after="120"/>
        <w:ind w:firstLine="360"/>
        <w:jc w:val="both"/>
      </w:pPr>
      <w:r>
        <w:t xml:space="preserve">Uduszenie gwałtowne. Pojęcie i mechanizm uduszenia gwałtownego. Rodzaje śmierci z uduszenia: </w:t>
      </w:r>
      <w:proofErr w:type="spellStart"/>
      <w:r>
        <w:t>zagardlenie</w:t>
      </w:r>
      <w:proofErr w:type="spellEnd"/>
      <w:r>
        <w:t xml:space="preserve"> (powieszenie, zadzierzgnięcie, zadławienie), utonięcie i inne. Różnicowanie zgonów: zbrodnicze, samobójcze, z nieszczęśliwych wypadków oraz naturalne.</w:t>
      </w:r>
    </w:p>
    <w:p w:rsidR="009B39A1" w:rsidRDefault="009B39A1" w:rsidP="009B39A1">
      <w:pPr>
        <w:pStyle w:val="Akapitzlist"/>
        <w:numPr>
          <w:ilvl w:val="0"/>
          <w:numId w:val="4"/>
        </w:numPr>
        <w:spacing w:after="120"/>
        <w:jc w:val="both"/>
      </w:pPr>
      <w:r>
        <w:t>Kryminalistyka</w:t>
      </w:r>
    </w:p>
    <w:p w:rsidR="009B39A1" w:rsidRDefault="009B39A1" w:rsidP="009B39A1">
      <w:pPr>
        <w:spacing w:after="120"/>
        <w:ind w:firstLine="360"/>
        <w:jc w:val="both"/>
      </w:pPr>
      <w:r>
        <w:t>Zagadnienia techniki kryminalistycznej.</w:t>
      </w:r>
    </w:p>
    <w:p w:rsidR="009B39A1" w:rsidRDefault="009B39A1" w:rsidP="009B39A1">
      <w:pPr>
        <w:spacing w:after="120"/>
        <w:ind w:firstLine="360"/>
        <w:jc w:val="both"/>
      </w:pPr>
      <w:r>
        <w:t>Identyfikacja kryminalistyczna. Ślady, ich systematyka i badania. Klasyczne ekspertyzy kryminalistyczne. Daktyloskopia, traseologia.</w:t>
      </w:r>
    </w:p>
    <w:p w:rsidR="009B39A1" w:rsidRDefault="009B39A1" w:rsidP="009B39A1">
      <w:pPr>
        <w:spacing w:after="120"/>
        <w:ind w:firstLine="360"/>
        <w:jc w:val="both"/>
      </w:pPr>
      <w:r>
        <w:t xml:space="preserve">Metodyka postępowania dowodowego w sprawach karnych (oględziny miejsca zdarzenia i zabezpieczenie śladów kryminalistycznych), w tym czynności własne prokuratora. Zajęcia prowadzone na terenie Szkoły Policji. </w:t>
      </w:r>
    </w:p>
    <w:p w:rsidR="009B39A1" w:rsidRDefault="009B39A1" w:rsidP="009B39A1">
      <w:pPr>
        <w:spacing w:after="120" w:line="240" w:lineRule="auto"/>
        <w:ind w:firstLine="360"/>
        <w:jc w:val="both"/>
      </w:pPr>
      <w:r>
        <w:t>Patroni powinni zadbać, aby aplikanci w czasie praktyk mieli możliwość zapoznania się z praktyczną stroną pracy prokuratora w zakresie objętym tematyką zjazdu, w tym:</w:t>
      </w:r>
    </w:p>
    <w:p w:rsidR="009B39A1" w:rsidRDefault="009B39A1" w:rsidP="009B39A1">
      <w:pPr>
        <w:spacing w:after="120" w:line="240" w:lineRule="auto"/>
        <w:jc w:val="both"/>
      </w:pPr>
      <w:r>
        <w:t>1.</w:t>
      </w:r>
      <w:r>
        <w:tab/>
        <w:t>z zasadami przeprowadzania oględzin i sporządzania odpowiedniej dokumentacji (w szczególności protokołu oględzin) – przede wszystkim poprzez udział w oględzinach miejsc, rzeczy i osób, w tym w miarę możliwości oględzinach miejsca wypadku drogowego, pożaru lub katastrofy – także w ramach dyżuru całodobowego;</w:t>
      </w:r>
    </w:p>
    <w:p w:rsidR="009B39A1" w:rsidRDefault="009B39A1" w:rsidP="009B39A1">
      <w:pPr>
        <w:spacing w:after="120" w:line="240" w:lineRule="auto"/>
        <w:jc w:val="both"/>
      </w:pPr>
      <w:r>
        <w:t>2.</w:t>
      </w:r>
      <w:r>
        <w:tab/>
        <w:t>ze zdjęciami, szkicami lub zapisami wideo wykonanymi podczas oględzin oraz z techniką dokumentowania w protokole zastanych miejsc, osób, rzeczy, z umiejscowieniem i oznaczaniem śladów kryminalistycznych, ich nośników oraz rzeczy mogących mieć związek z przestępstwem;</w:t>
      </w:r>
    </w:p>
    <w:p w:rsidR="009B39A1" w:rsidRDefault="009B39A1" w:rsidP="009B39A1">
      <w:pPr>
        <w:spacing w:after="120" w:line="240" w:lineRule="auto"/>
        <w:jc w:val="both"/>
      </w:pPr>
      <w:r>
        <w:t>3.</w:t>
      </w:r>
      <w:r>
        <w:tab/>
        <w:t>z zasadami zabezpieczenia śladów kryminalistycznych, ich nośników oraz rzeczy mogących mieć związek z przestępstwem;</w:t>
      </w:r>
    </w:p>
    <w:p w:rsidR="009B39A1" w:rsidRDefault="009B39A1" w:rsidP="009B39A1">
      <w:pPr>
        <w:spacing w:after="120" w:line="240" w:lineRule="auto"/>
        <w:jc w:val="both"/>
      </w:pPr>
      <w:r>
        <w:t>4.</w:t>
      </w:r>
      <w:r>
        <w:tab/>
        <w:t xml:space="preserve">z zasadami formułowania pytań do biegłych różnych specjalności oraz oceny wydanych przez nich opinii; aplikanci powinni opanować zasady sporządzania postanowień o powołaniu biegłych, oceny i dowodowego wykorzystania opinii (w tym opinii: kompleksowych, alternatywnych, </w:t>
      </w:r>
      <w:r>
        <w:lastRenderedPageBreak/>
        <w:t>abstrakcyjnych). Aplikanci powinni nabyć umiejętność dostrzegania błędów w opiniach, ich niepełności, niekompletności, niespójności oraz sprzeczności.</w:t>
      </w:r>
    </w:p>
    <w:p w:rsidR="002115EC" w:rsidRDefault="009B39A1" w:rsidP="009B39A1">
      <w:pPr>
        <w:spacing w:after="120" w:line="240" w:lineRule="auto"/>
        <w:ind w:firstLine="708"/>
        <w:jc w:val="both"/>
      </w:pPr>
      <w:r>
        <w:t>Patroni praktyk powinni również zapewnić uczestnictwo</w:t>
      </w:r>
      <w:r w:rsidR="00455916">
        <w:t xml:space="preserve"> aplikantów</w:t>
      </w:r>
      <w:r>
        <w:t xml:space="preserve"> w oględzinach zwłok w miejscu ich ujawnienia oraz w sądowo-lekarskiej sekcji zwłok.</w:t>
      </w:r>
    </w:p>
    <w:sectPr w:rsidR="002115EC" w:rsidSect="00AE33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CD" w:rsidRDefault="00F150CD">
      <w:pPr>
        <w:spacing w:after="0" w:line="240" w:lineRule="auto"/>
      </w:pPr>
      <w:r>
        <w:separator/>
      </w:r>
    </w:p>
  </w:endnote>
  <w:endnote w:type="continuationSeparator" w:id="0">
    <w:p w:rsidR="00F150CD" w:rsidRDefault="00F1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12078E">
    <w:pPr>
      <w:pStyle w:val="Stopka"/>
    </w:pPr>
  </w:p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4849E2" w:rsidTr="005F4D0F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4849E2" w:rsidRPr="0074505E" w:rsidRDefault="0012078E" w:rsidP="004849E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4849E2" w:rsidRPr="00A944C8" w:rsidRDefault="00455916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4849E2" w:rsidRPr="00A944C8" w:rsidRDefault="00455916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4849E2" w:rsidRDefault="0012078E" w:rsidP="004849E2">
    <w:pPr>
      <w:pStyle w:val="Stopka"/>
      <w:jc w:val="center"/>
    </w:pPr>
  </w:p>
  <w:p w:rsidR="00AE33FA" w:rsidRDefault="0012078E">
    <w:pPr>
      <w:pStyle w:val="Stopka"/>
    </w:pPr>
  </w:p>
  <w:p w:rsidR="00AE33FA" w:rsidRDefault="00120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12078E" w:rsidP="00142708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AE33FA" w:rsidRPr="00A944C8" w:rsidRDefault="00455916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455916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12078E" w:rsidP="001427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CD" w:rsidRDefault="00F150CD">
      <w:pPr>
        <w:spacing w:after="0" w:line="240" w:lineRule="auto"/>
      </w:pPr>
      <w:r>
        <w:separator/>
      </w:r>
    </w:p>
  </w:footnote>
  <w:footnote w:type="continuationSeparator" w:id="0">
    <w:p w:rsidR="00F150CD" w:rsidRDefault="00F1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12078E" w:rsidP="004849E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</w:p>
  <w:p w:rsidR="00AE33FA" w:rsidRPr="009B38B3" w:rsidRDefault="00455916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FA" w:rsidRDefault="00455916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D59309" wp14:editId="10766FDB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  <w:bookmarkStart w:id="1" w:name="_Hlk105750042"/>
  </w:p>
  <w:p w:rsidR="00AE33FA" w:rsidRDefault="0012078E" w:rsidP="00AE33FA">
    <w:pPr>
      <w:pStyle w:val="Nagwek"/>
      <w:ind w:right="4959"/>
      <w:jc w:val="center"/>
      <w:rPr>
        <w:b/>
      </w:rPr>
    </w:pPr>
  </w:p>
  <w:p w:rsidR="00AE33FA" w:rsidRPr="009E7ADE" w:rsidRDefault="0012078E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455916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455916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bookmarkEnd w:id="1"/>
  <w:p w:rsidR="00AE33FA" w:rsidRPr="004F17DC" w:rsidRDefault="0012078E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560C8"/>
    <w:multiLevelType w:val="hybridMultilevel"/>
    <w:tmpl w:val="35E0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A3"/>
    <w:rsid w:val="0002796E"/>
    <w:rsid w:val="00031F71"/>
    <w:rsid w:val="000C39FB"/>
    <w:rsid w:val="0012078E"/>
    <w:rsid w:val="002115EC"/>
    <w:rsid w:val="00455916"/>
    <w:rsid w:val="005F440F"/>
    <w:rsid w:val="006037A1"/>
    <w:rsid w:val="006E4CB3"/>
    <w:rsid w:val="00711DB7"/>
    <w:rsid w:val="007360F2"/>
    <w:rsid w:val="007643C3"/>
    <w:rsid w:val="007C57E9"/>
    <w:rsid w:val="00857D14"/>
    <w:rsid w:val="008C53F8"/>
    <w:rsid w:val="009B39A1"/>
    <w:rsid w:val="00A147A6"/>
    <w:rsid w:val="00AD68A3"/>
    <w:rsid w:val="00E87F4D"/>
    <w:rsid w:val="00F1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A4AB-1483-484F-BD48-976D7B0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8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8A3"/>
  </w:style>
  <w:style w:type="paragraph" w:styleId="Stopka">
    <w:name w:val="footer"/>
    <w:basedOn w:val="Normalny"/>
    <w:link w:val="StopkaZnak"/>
    <w:uiPriority w:val="99"/>
    <w:unhideWhenUsed/>
    <w:rsid w:val="00AD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8A3"/>
  </w:style>
  <w:style w:type="paragraph" w:styleId="Akapitzlist">
    <w:name w:val="List Paragraph"/>
    <w:basedOn w:val="Normalny"/>
    <w:uiPriority w:val="34"/>
    <w:qFormat/>
    <w:rsid w:val="009B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509A-EFA1-4EC4-9974-92BFB19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5525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dcterms:created xsi:type="dcterms:W3CDTF">2023-08-03T05:33:00Z</dcterms:created>
  <dcterms:modified xsi:type="dcterms:W3CDTF">2023-08-03T05:33:00Z</dcterms:modified>
</cp:coreProperties>
</file>